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办公业务用房综合维修项目工程造价咨询</w:t>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采购要求</w:t>
      </w: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eastAsia="宋体" w:cs="宋体"/>
          <w:color w:val="auto"/>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本项目报价采用暂定总价的方式进行。项目服务费参照《工程造价咨询服务收费标准的通知》（鄂价工服规[2012]149号文）。服务费金额不超过概算批复的相关费用28.57万元。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二、商务要求</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1.采购服务期限要求：自</w:t>
      </w:r>
      <w:r>
        <w:rPr>
          <w:rFonts w:hint="eastAsia" w:ascii="仿宋_GB2312" w:hAnsi="仿宋_GB2312" w:eastAsia="仿宋_GB2312" w:cs="仿宋_GB2312"/>
          <w:color w:val="auto"/>
          <w:kern w:val="2"/>
          <w:sz w:val="32"/>
          <w:szCs w:val="32"/>
          <w:highlight w:val="none"/>
          <w:lang w:val="en-US" w:eastAsia="zh-CN" w:bidi="ar-SA"/>
        </w:rPr>
        <w:t>合同签订之日起至完成本项目合同约定的全部工作为止</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维修项目背景及主要内容：市委网信办办公业务用房综合维修项目，主要建设内容包括装饰装修、承重、围护、给水排水（含消防）、电气、通风与空调、建筑智能化等系统工程，以及局部功能布局调整、增加外挂疏散楼梯等。总投资2906.52万元。</w:t>
      </w:r>
    </w:p>
    <w:p>
      <w:pPr>
        <w:pStyle w:val="18"/>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3.建设地点：武汉市江汉区常青路58号。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4.取</w:t>
      </w:r>
      <w:r>
        <w:rPr>
          <w:rFonts w:hint="eastAsia" w:ascii="仿宋_GB2312" w:hAnsi="仿宋_GB2312" w:eastAsia="仿宋_GB2312" w:cs="仿宋_GB2312"/>
          <w:color w:val="auto"/>
          <w:kern w:val="2"/>
          <w:sz w:val="32"/>
          <w:szCs w:val="32"/>
          <w:lang w:val="en-US" w:eastAsia="zh-CN" w:bidi="ar-SA"/>
        </w:rPr>
        <w:t>费标准：供应商的报价应包括供应商为完成本项目工程量清单、招标控制价（施工图预算）的编制或审核及施工阶段全过程工程造价控制等工作，合同履行期间所发生的所有费用，其中公司管理费、会务费、信息服务费、交通费、住宿费、餐费等相关费用均含在报价之中，采购人不另行单独支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服务要求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工程造价咨询机构应委派有资质和能力的工程造价工程师做好工程造价咨询工作。其具体服务内容如下：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0" w:name="bookmark216"/>
      <w:bookmarkEnd w:id="0"/>
      <w:r>
        <w:rPr>
          <w:rFonts w:hint="eastAsia" w:ascii="仿宋_GB2312" w:hAnsi="仿宋_GB2312" w:eastAsia="仿宋_GB2312" w:cs="仿宋_GB2312"/>
          <w:color w:val="auto"/>
          <w:kern w:val="2"/>
          <w:sz w:val="32"/>
          <w:szCs w:val="32"/>
          <w:lang w:val="en-US" w:eastAsia="zh-CN" w:bidi="ar-SA"/>
        </w:rPr>
        <w:t>1.工程量清单的编制或审核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根据施工图设计文件，按工程量清单计价规范的要求编制工程量清单，出具相应的咨询成果文件；或对委托方提供的工程量清单，按工程量清单计价规范的要求进行审核，出具相应的咨询成果文件。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2.招标控制价（施工图预算）的编制或审核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工程量清单，按工程量清单计价规范的要求编制控制价（或施工图预算），出具相应的咨询成果文件；或对委托方提供的控制价（或施工图预算），按工程量清单计价规范的要求进行审核，出具相应的咨询成果文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1" w:name="bookmark219"/>
      <w:bookmarkEnd w:id="1"/>
      <w:bookmarkStart w:id="2" w:name="bookmark218"/>
      <w:bookmarkEnd w:id="2"/>
      <w:r>
        <w:rPr>
          <w:rFonts w:hint="eastAsia" w:ascii="仿宋_GB2312" w:hAnsi="仿宋_GB2312" w:eastAsia="仿宋_GB2312" w:cs="仿宋_GB2312"/>
          <w:color w:val="auto"/>
          <w:kern w:val="2"/>
          <w:sz w:val="32"/>
          <w:szCs w:val="32"/>
          <w:lang w:val="en-US" w:eastAsia="zh-CN" w:bidi="ar-SA"/>
        </w:rPr>
        <w:t>3.施工阶段全过程工程造价控制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确定工程造价控制目标，制定工程造价控制办法，编制资金使用计划，审核工程计量支付并提供付款建议，审核工程变更费用，审核索赔与现场签证费用，进行成本分析与造价控制目标的动态调整，提供人工、材料设备、机械等方面的价格信息咨询，审核已完工程的结算，提供工程造价的控制与管理方面的其他技术咨询服务。针对上述各项服务内容出具相应的咨询成果文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四、其他要求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1.成交供应商对有关项目的一切内容负有保密责任。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2.成交供应商在工作中，不得将受托项目转包、分包给其他单位或个人。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3.成交供应商应在我办规定时间内签订合同。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五、评审标准</w:t>
      </w:r>
    </w:p>
    <w:p>
      <w:pPr>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auto"/>
        </w:rPr>
      </w:pPr>
      <w:r>
        <w:rPr>
          <w:rFonts w:hint="eastAsia" w:ascii="宋体" w:hAnsi="宋体" w:eastAsia="宋体" w:cs="宋体"/>
          <w:b/>
          <w:bCs/>
          <w:color w:val="auto"/>
        </w:rPr>
        <w:t xml:space="preserve"> </w:t>
      </w:r>
      <w:r>
        <w:rPr>
          <w:rFonts w:ascii="宋体" w:hAnsi="宋体" w:eastAsia="宋体" w:cs="宋体"/>
          <w:b/>
          <w:bCs/>
          <w:color w:val="auto"/>
        </w:rPr>
        <w:t xml:space="preserve">  </w:t>
      </w:r>
      <w:r>
        <w:rPr>
          <w:rFonts w:hint="eastAsia" w:ascii="仿宋_GB2312" w:hAnsi="仿宋_GB2312" w:eastAsia="仿宋_GB2312" w:cs="仿宋_GB2312"/>
          <w:color w:val="auto"/>
          <w:kern w:val="2"/>
          <w:sz w:val="32"/>
          <w:szCs w:val="32"/>
          <w:lang w:val="en-US" w:eastAsia="zh-CN" w:bidi="ar-SA"/>
        </w:rPr>
        <w:t xml:space="preserve">  详见附件</w:t>
      </w:r>
    </w:p>
    <w:p>
      <w:pPr>
        <w:pStyle w:val="12"/>
        <w:ind w:left="0" w:leftChars="0"/>
        <w:rPr>
          <w:color w:val="auto"/>
        </w:rPr>
      </w:pPr>
    </w:p>
    <w:p>
      <w:pPr>
        <w:pStyle w:val="12"/>
        <w:ind w:left="0" w:leftChars="0"/>
        <w:rPr>
          <w:color w:val="auto"/>
        </w:rPr>
      </w:pPr>
    </w:p>
    <w:p>
      <w:pPr>
        <w:pStyle w:val="12"/>
        <w:ind w:left="0" w:leftChars="0"/>
        <w:rPr>
          <w:color w:val="auto"/>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评审方法、程序及标准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一、评审方法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根据《中共武汉市委网络安全和信息化委员会办公室自行采购管理办法》，本次评审采用综合评分法（百分制），即响应文件满足全部实质性要求且按评分细则评审得分最高的供应商为成交供应商的评审方法。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项目评审过程中，不得去掉最后报价中的最高报价和最低报价。本项目评分保留小数点后两位。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推荐成交候选供应商的方法：评审小组按评审后得分由高到低顺序进行推荐。得分相同的，按技术指标优劣顺序排列。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bookmarkStart w:id="3" w:name="_Toc12083"/>
      <w:r>
        <w:rPr>
          <w:rFonts w:hint="eastAsia" w:ascii="黑体" w:hAnsi="黑体" w:eastAsia="黑体" w:cs="黑体"/>
          <w:b w:val="0"/>
          <w:bCs w:val="0"/>
          <w:color w:val="auto"/>
          <w:sz w:val="32"/>
          <w:szCs w:val="32"/>
        </w:rPr>
        <w:t>二、评审程序</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w:t>
      </w:r>
      <w:bookmarkStart w:id="4" w:name="_Toc492403840"/>
      <w:r>
        <w:rPr>
          <w:rFonts w:hint="eastAsia" w:ascii="楷体" w:hAnsi="楷体" w:eastAsia="楷体" w:cs="楷体"/>
          <w:b/>
          <w:bCs/>
          <w:color w:val="auto"/>
          <w:sz w:val="32"/>
          <w:szCs w:val="32"/>
        </w:rPr>
        <w:t>资格审查表</w:t>
      </w:r>
      <w:bookmarkEnd w:id="4"/>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80"/>
        <w:gridCol w:w="285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680" w:type="dxa"/>
            <w:shd w:val="clear" w:color="auto" w:fill="D7D7D7" w:themeFill="background1" w:themeFillShade="D8"/>
            <w:vAlign w:val="center"/>
          </w:tcPr>
          <w:p>
            <w:pPr>
              <w:widowControl/>
              <w:adjustRightInd w:val="0"/>
              <w:snapToGrid w:val="0"/>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2858" w:type="dxa"/>
            <w:shd w:val="clear" w:color="auto" w:fill="D7D7D7" w:themeFill="background1" w:themeFillShade="D8"/>
            <w:vAlign w:val="center"/>
          </w:tcPr>
          <w:p>
            <w:pPr>
              <w:adjustRightInd w:val="0"/>
              <w:snapToGrid w:val="0"/>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资格要求</w:t>
            </w:r>
          </w:p>
        </w:tc>
        <w:tc>
          <w:tcPr>
            <w:tcW w:w="5523" w:type="dxa"/>
            <w:shd w:val="clear" w:color="auto" w:fill="D7D7D7" w:themeFill="background1" w:themeFillShade="D8"/>
            <w:vAlign w:val="center"/>
          </w:tcPr>
          <w:p>
            <w:pPr>
              <w:widowControl/>
              <w:adjustRightInd w:val="0"/>
              <w:snapToGrid w:val="0"/>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restart"/>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2858" w:type="dxa"/>
            <w:vAlign w:val="center"/>
          </w:tcPr>
          <w:p>
            <w:pPr>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 xml:space="preserve">具有独立承担民事责任的能力 </w:t>
            </w:r>
          </w:p>
        </w:tc>
        <w:tc>
          <w:tcPr>
            <w:tcW w:w="5523" w:type="dxa"/>
            <w:vAlign w:val="center"/>
          </w:tcPr>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如</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continue"/>
            <w:vAlign w:val="center"/>
          </w:tcPr>
          <w:p>
            <w:pPr>
              <w:widowControl/>
              <w:numPr>
                <w:ilvl w:val="0"/>
                <w:numId w:val="2"/>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lang w:val="hr-HR"/>
              </w:rPr>
              <w:t>具有良好的商业信誉和健全的财务会计制度</w:t>
            </w:r>
          </w:p>
        </w:tc>
        <w:tc>
          <w:tcPr>
            <w:tcW w:w="5523"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供应商是法人的，应具有</w:t>
            </w:r>
            <w:r>
              <w:rPr>
                <w:rFonts w:hint="eastAsia" w:ascii="仿宋_GB2312" w:hAnsi="仿宋_GB2312" w:eastAsia="仿宋_GB2312" w:cs="仿宋_GB2312"/>
                <w:bCs/>
                <w:color w:val="auto"/>
                <w:szCs w:val="21"/>
                <w:lang w:val="en-US" w:eastAsia="zh-CN"/>
              </w:rPr>
              <w:t>近</w:t>
            </w:r>
            <w:r>
              <w:rPr>
                <w:rFonts w:hint="eastAsia" w:ascii="仿宋_GB2312" w:hAnsi="仿宋_GB2312" w:eastAsia="仿宋_GB2312" w:cs="仿宋_GB2312"/>
                <w:bCs/>
                <w:color w:val="auto"/>
                <w:szCs w:val="21"/>
              </w:rPr>
              <w:t>年度（2021年度</w:t>
            </w:r>
            <w:r>
              <w:rPr>
                <w:rFonts w:hint="eastAsia" w:ascii="仿宋_GB2312" w:hAnsi="仿宋_GB2312" w:eastAsia="仿宋_GB2312" w:cs="仿宋_GB2312"/>
                <w:bCs/>
                <w:color w:val="auto"/>
                <w:szCs w:val="21"/>
                <w:lang w:val="en-US" w:eastAsia="zh-CN"/>
              </w:rPr>
              <w:t>或2022年度</w:t>
            </w:r>
            <w:r>
              <w:rPr>
                <w:rFonts w:hint="eastAsia" w:ascii="仿宋_GB2312" w:hAnsi="仿宋_GB2312" w:eastAsia="仿宋_GB2312" w:cs="仿宋_GB2312"/>
                <w:bCs/>
                <w:color w:val="auto"/>
                <w:szCs w:val="21"/>
              </w:rPr>
              <w:t>）经审计的财务报告，或其基本开户银行出具的资信证明。其他组织和自然人，没有经审计的财务报告，应具有银行出具的资信证明。</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有专业担保机构对供应商进行资信审查后出具投标担保函的，可以不用具备经审计的财务报告和银行资信证明文件。</w:t>
            </w:r>
          </w:p>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rPr>
              <w:t>备注：如果供应商同时提供了1）书面承诺及声明、2）相应证明材料，且二者内容不一致的，评审专家有权任选其中一种进行评审，由供应商自行承担一切后果。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80" w:type="dxa"/>
            <w:vMerge w:val="continue"/>
            <w:vAlign w:val="center"/>
          </w:tcPr>
          <w:p>
            <w:pPr>
              <w:widowControl/>
              <w:numPr>
                <w:ilvl w:val="0"/>
                <w:numId w:val="2"/>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具有履行合同所必需的设备和专业技术能力</w:t>
            </w:r>
          </w:p>
        </w:tc>
        <w:tc>
          <w:tcPr>
            <w:tcW w:w="5523" w:type="dxa"/>
            <w:vAlign w:val="center"/>
          </w:tcPr>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continue"/>
            <w:vAlign w:val="center"/>
          </w:tcPr>
          <w:p>
            <w:pPr>
              <w:widowControl/>
              <w:numPr>
                <w:ilvl w:val="0"/>
                <w:numId w:val="2"/>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p>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有依法缴纳税收和社会保障资金的良好记录</w:t>
            </w:r>
          </w:p>
        </w:tc>
        <w:tc>
          <w:tcPr>
            <w:tcW w:w="5523"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供应商依法缴纳税收：本项目公告发布时间前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（至少有1个月）缴纳税收的凭据（完税证、缴款书、印花税票、银行代扣（代缴）转账凭证等均可）；</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供应商依法缴纳社会保障资金：本项目公告发布时间前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（至少有1个月）缴纳社会保险的凭据（专用收据或社会保险交纳清单）；</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供应商为其他组织或自然人的，也应满足以上要求；</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递交投标文件截止时间的当月成立但因税务机关原因导致其尚未依法缴纳税收的供应商，提供将依法缴纳税收承诺书原件（格式自拟），该承诺书视同税收缴纳凭据。</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依法免税或不需要缴纳社会保障资金的供应商，具有相应文件证明其依法免税或不需要交纳社会保障资金。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lang w:val="hr-HR"/>
              </w:rPr>
              <w:t>备注：如果</w:t>
            </w:r>
            <w:r>
              <w:rPr>
                <w:rFonts w:hint="eastAsia" w:ascii="仿宋_GB2312" w:hAnsi="仿宋_GB2312" w:eastAsia="仿宋_GB2312" w:cs="仿宋_GB2312"/>
                <w:b/>
                <w:color w:val="auto"/>
                <w:szCs w:val="21"/>
              </w:rPr>
              <w:t>供应商</w:t>
            </w:r>
            <w:r>
              <w:rPr>
                <w:rFonts w:hint="eastAsia" w:ascii="仿宋_GB2312" w:hAnsi="仿宋_GB2312" w:eastAsia="仿宋_GB2312" w:cs="仿宋_GB2312"/>
                <w:b/>
                <w:color w:val="auto"/>
                <w:szCs w:val="21"/>
                <w:lang w:val="hr-HR"/>
              </w:rPr>
              <w:t>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jc w:val="center"/>
        </w:trPr>
        <w:tc>
          <w:tcPr>
            <w:tcW w:w="680" w:type="dxa"/>
            <w:vMerge w:val="continue"/>
            <w:vAlign w:val="center"/>
          </w:tcPr>
          <w:p>
            <w:pPr>
              <w:widowControl/>
              <w:numPr>
                <w:ilvl w:val="0"/>
                <w:numId w:val="2"/>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参加采购活动前三年内，在经营活动中没有重大违法记录</w:t>
            </w:r>
          </w:p>
        </w:tc>
        <w:tc>
          <w:tcPr>
            <w:tcW w:w="5523"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continue"/>
            <w:vAlign w:val="center"/>
          </w:tcPr>
          <w:p>
            <w:pPr>
              <w:widowControl/>
              <w:numPr>
                <w:ilvl w:val="0"/>
                <w:numId w:val="2"/>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法律、行政法规规定的其他条件</w:t>
            </w:r>
          </w:p>
        </w:tc>
        <w:tc>
          <w:tcPr>
            <w:tcW w:w="5523"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rPr>
              <w:t>单位负责人为同一人或者存在直接控股、管理关系的不同的投标人，不得参加本项目同一合同项下的采购活动</w:t>
            </w:r>
          </w:p>
        </w:tc>
        <w:tc>
          <w:tcPr>
            <w:tcW w:w="5523"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p>
        </w:tc>
        <w:tc>
          <w:tcPr>
            <w:tcW w:w="2858" w:type="dxa"/>
            <w:vAlign w:val="center"/>
          </w:tcPr>
          <w:p>
            <w:pPr>
              <w:widowControl/>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未被列入失信被执行人、重大税收违法失信主体，未被列入政府采购严重违法失信行为记录名单。</w:t>
            </w:r>
          </w:p>
        </w:tc>
        <w:tc>
          <w:tcPr>
            <w:tcW w:w="5523"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以采购人在递交响应文件截止日在“信用中国”网站（www.creditchina.gov.cn）及中国政府采购网(www.ccgp.gov.cn)查询的</w:t>
            </w:r>
            <w:r>
              <w:rPr>
                <w:rFonts w:hint="eastAsia" w:ascii="仿宋_GB2312" w:hAnsi="仿宋_GB2312" w:eastAsia="仿宋_GB2312" w:cs="仿宋_GB2312"/>
                <w:color w:val="auto"/>
                <w:szCs w:val="21"/>
              </w:rPr>
              <w:t>供应商</w:t>
            </w:r>
            <w:r>
              <w:rPr>
                <w:rFonts w:hint="eastAsia" w:ascii="仿宋_GB2312" w:hAnsi="仿宋_GB2312" w:eastAsia="仿宋_GB2312" w:cs="仿宋_GB2312"/>
                <w:color w:val="auto"/>
                <w:szCs w:val="21"/>
                <w:lang w:val="hr-HR"/>
              </w:rPr>
              <w:t>参加采购活动前三年内的结果为准（采购人和采购代理机构对信用信息查询记录和证据截图或下载存档）。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2858" w:type="dxa"/>
            <w:vAlign w:val="center"/>
          </w:tcPr>
          <w:p>
            <w:pPr>
              <w:widowControl/>
              <w:adjustRightInd w:val="0"/>
              <w:snapToGrid w:val="0"/>
              <w:jc w:val="left"/>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本项目的特定资格要求</w:t>
            </w:r>
          </w:p>
        </w:tc>
        <w:tc>
          <w:tcPr>
            <w:tcW w:w="5523" w:type="dxa"/>
            <w:vAlign w:val="center"/>
          </w:tcPr>
          <w:p>
            <w:pPr>
              <w:keepNext w:val="0"/>
              <w:keepLines w:val="0"/>
              <w:pageBreakBefore w:val="0"/>
              <w:kinsoku/>
              <w:wordWrap/>
              <w:overflowPunct/>
              <w:topLinePunct w:val="0"/>
              <w:autoSpaceDE/>
              <w:autoSpaceDN/>
              <w:bidi w:val="0"/>
              <w:snapToGrid w:val="0"/>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kern w:val="0"/>
          <w:szCs w:val="21"/>
          <w:lang w:val="hr-HR"/>
        </w:rPr>
      </w:pPr>
      <w:r>
        <w:rPr>
          <w:rFonts w:hint="eastAsia" w:ascii="仿宋_GB2312" w:hAnsi="仿宋_GB2312" w:eastAsia="仿宋_GB2312" w:cs="仿宋_GB2312"/>
          <w:color w:val="auto"/>
          <w:kern w:val="0"/>
          <w:szCs w:val="21"/>
          <w:lang w:val="hr-HR"/>
        </w:rPr>
        <w:t>备注：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证明材料仅限于供应商本身，参股或控股单位及独立法人子公司的材料不能作为证明材料，但供应商兼并的企业的材料可作为证明材料。</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
          <w:bCs/>
          <w:color w:val="auto"/>
          <w:sz w:val="32"/>
          <w:szCs w:val="32"/>
        </w:rPr>
      </w:pPr>
      <w:r>
        <w:rPr>
          <w:rFonts w:hint="eastAsia" w:ascii="仿宋_GB2312" w:hAnsi="仿宋_GB2312" w:eastAsia="仿宋_GB2312" w:cs="仿宋_GB2312"/>
          <w:color w:val="auto"/>
          <w:kern w:val="0"/>
          <w:szCs w:val="21"/>
        </w:rPr>
        <w:t>（2）对于响应文件中有任意一条不满足上表要求的将视为未实质性响应</w:t>
      </w:r>
      <w:r>
        <w:rPr>
          <w:rFonts w:hint="eastAsia" w:ascii="仿宋_GB2312" w:hAnsi="仿宋_GB2312" w:eastAsia="仿宋_GB2312" w:cs="仿宋_GB2312"/>
          <w:color w:val="auto"/>
          <w:kern w:val="0"/>
          <w:szCs w:val="21"/>
          <w:lang w:val="en-US" w:eastAsia="zh-CN"/>
        </w:rPr>
        <w:t>招标</w:t>
      </w:r>
      <w:r>
        <w:rPr>
          <w:rFonts w:hint="eastAsia" w:ascii="仿宋_GB2312" w:hAnsi="仿宋_GB2312" w:eastAsia="仿宋_GB2312" w:cs="仿宋_GB2312"/>
          <w:color w:val="auto"/>
          <w:kern w:val="0"/>
          <w:szCs w:val="21"/>
        </w:rPr>
        <w:t>文件，不进入下一项评审。</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rPr>
      </w:pPr>
      <w:r>
        <w:rPr>
          <w:rFonts w:hint="eastAsia" w:ascii="楷体" w:hAnsi="楷体" w:eastAsia="楷体" w:cs="楷体"/>
          <w:b/>
          <w:bCs/>
          <w:color w:val="auto"/>
          <w:sz w:val="32"/>
          <w:szCs w:val="32"/>
        </w:rPr>
        <w:t>（二）详细评审</w:t>
      </w:r>
    </w:p>
    <w:tbl>
      <w:tblPr>
        <w:tblStyle w:val="14"/>
        <w:tblW w:w="4993"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508"/>
        <w:gridCol w:w="1111"/>
        <w:gridCol w:w="812"/>
        <w:gridCol w:w="651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2" w:hRule="atLeast"/>
          <w:tblHeader/>
          <w:jc w:val="center"/>
        </w:trPr>
        <w:tc>
          <w:tcPr>
            <w:tcW w:w="1619" w:type="dxa"/>
            <w:gridSpan w:val="2"/>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评审因素</w:t>
            </w:r>
          </w:p>
        </w:tc>
        <w:tc>
          <w:tcPr>
            <w:tcW w:w="812"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分值</w:t>
            </w:r>
          </w:p>
        </w:tc>
        <w:tc>
          <w:tcPr>
            <w:tcW w:w="6515"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ind w:firstLine="0" w:firstLineChars="0"/>
              <w:jc w:val="center"/>
              <w:textAlignment w:val="auto"/>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6" w:hRule="atLeast"/>
          <w:jc w:val="center"/>
        </w:trPr>
        <w:tc>
          <w:tcPr>
            <w:tcW w:w="1619" w:type="dxa"/>
            <w:gridSpan w:val="2"/>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价格</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10</w:t>
            </w:r>
          </w:p>
        </w:tc>
        <w:tc>
          <w:tcPr>
            <w:tcW w:w="6515"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pStyle w:val="23"/>
              <w:keepNext w:val="0"/>
              <w:keepLines w:val="0"/>
              <w:pageBreakBefore w:val="0"/>
              <w:numPr>
                <w:ilvl w:val="0"/>
                <w:numId w:val="0"/>
              </w:numPr>
              <w:kinsoku/>
              <w:wordWrap/>
              <w:overflowPunct/>
              <w:topLinePunct w:val="0"/>
              <w:autoSpaceDE/>
              <w:autoSpaceDN/>
              <w:bidi w:val="0"/>
              <w:spacing w:line="26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报价分采用低价优先法计算，即满足招标文件要求且投标价格最低的投标报价为评标基准价，其报价分为满分（10分）。其他投标人的报价分按照下列公式计算：报价分=(评标基准价／投标报价)×10分（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78" w:hRule="atLeast"/>
          <w:jc w:val="center"/>
        </w:trPr>
        <w:tc>
          <w:tcPr>
            <w:tcW w:w="1619" w:type="dxa"/>
            <w:gridSpan w:val="2"/>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商务部分</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35</w:t>
            </w:r>
          </w:p>
        </w:tc>
        <w:tc>
          <w:tcPr>
            <w:tcW w:w="6515"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left"/>
              <w:textAlignment w:val="auto"/>
              <w:rPr>
                <w:rFonts w:hint="eastAsia" w:ascii="仿宋_GB2312" w:hAnsi="仿宋_GB2312" w:eastAsia="仿宋_GB2312" w:cs="仿宋_GB2312"/>
                <w:color w:val="auto"/>
                <w:sz w:val="21"/>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left="0" w:leftChars="0"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企业</w:t>
            </w:r>
            <w:r>
              <w:rPr>
                <w:rFonts w:hint="eastAsia" w:ascii="仿宋_GB2312" w:hAnsi="仿宋_GB2312" w:eastAsia="仿宋_GB2312" w:cs="仿宋_GB2312"/>
                <w:color w:val="auto"/>
                <w:sz w:val="21"/>
                <w:szCs w:val="21"/>
                <w:highlight w:val="none"/>
              </w:rPr>
              <w:t>业绩</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left="0" w:leftChars="0"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8</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3"/>
              <w:keepNext w:val="0"/>
              <w:keepLines w:val="0"/>
              <w:pageBreakBefore w:val="0"/>
              <w:numPr>
                <w:ilvl w:val="0"/>
                <w:numId w:val="0"/>
              </w:numPr>
              <w:kinsoku/>
              <w:wordWrap/>
              <w:overflowPunct/>
              <w:topLinePunct w:val="0"/>
              <w:autoSpaceDE/>
              <w:autoSpaceDN/>
              <w:bidi w:val="0"/>
              <w:spacing w:line="26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近三年（自2020年1月1日起至投标截止之日，以合同签订时间为准）以来</w:t>
            </w:r>
            <w:r>
              <w:rPr>
                <w:rFonts w:hint="eastAsia" w:ascii="仿宋_GB2312" w:hAnsi="仿宋_GB2312" w:eastAsia="仿宋_GB2312" w:cs="仿宋_GB2312"/>
                <w:color w:val="auto"/>
                <w:sz w:val="21"/>
                <w:szCs w:val="21"/>
                <w:highlight w:val="none"/>
              </w:rPr>
              <w:t>承接过1项</w:t>
            </w:r>
            <w:r>
              <w:rPr>
                <w:rFonts w:hint="eastAsia" w:ascii="仿宋_GB2312" w:hAnsi="仿宋_GB2312" w:eastAsia="仿宋_GB2312" w:cs="仿宋_GB2312"/>
                <w:color w:val="auto"/>
                <w:sz w:val="21"/>
                <w:szCs w:val="21"/>
                <w:highlight w:val="none"/>
                <w:lang w:val="en-US" w:eastAsia="zh-CN"/>
              </w:rPr>
              <w:t>2000万以上政府投资项目的，</w:t>
            </w:r>
            <w:r>
              <w:rPr>
                <w:rFonts w:hint="eastAsia" w:ascii="仿宋_GB2312" w:hAnsi="仿宋_GB2312" w:eastAsia="仿宋_GB2312" w:cs="仿宋_GB2312"/>
                <w:color w:val="auto"/>
                <w:sz w:val="21"/>
                <w:szCs w:val="21"/>
                <w:highlight w:val="none"/>
              </w:rPr>
              <w:t>每项得1分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最高得</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分；</w:t>
            </w:r>
          </w:p>
          <w:p>
            <w:pPr>
              <w:pStyle w:val="23"/>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color w:val="auto"/>
                <w:sz w:val="21"/>
                <w:szCs w:val="21"/>
                <w:highlight w:val="none"/>
              </w:rPr>
              <w:t>注：投标人须提供中标通知书</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如有</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合同</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成果文件</w:t>
            </w:r>
            <w:r>
              <w:rPr>
                <w:rFonts w:hint="eastAsia" w:ascii="仿宋_GB2312" w:hAnsi="仿宋_GB2312" w:eastAsia="仿宋_GB2312" w:cs="仿宋_GB2312"/>
                <w:color w:val="auto"/>
                <w:sz w:val="21"/>
                <w:szCs w:val="21"/>
                <w:highlight w:val="none"/>
              </w:rPr>
              <w:t>报告（</w:t>
            </w:r>
            <w:r>
              <w:rPr>
                <w:rFonts w:hint="eastAsia" w:ascii="仿宋_GB2312" w:hAnsi="仿宋_GB2312" w:eastAsia="仿宋_GB2312" w:cs="仿宋_GB2312"/>
                <w:color w:val="auto"/>
                <w:sz w:val="21"/>
                <w:szCs w:val="21"/>
                <w:highlight w:val="none"/>
                <w:lang w:val="en-US" w:eastAsia="zh-CN"/>
              </w:rPr>
              <w:t>如有</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等业绩证明材料扫描件</w:t>
            </w:r>
            <w:r>
              <w:rPr>
                <w:rFonts w:hint="eastAsia" w:ascii="仿宋_GB2312" w:hAnsi="仿宋_GB2312" w:eastAsia="仿宋_GB2312" w:cs="仿宋_GB2312"/>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spacing w:line="260" w:lineRule="exact"/>
              <w:jc w:val="center"/>
              <w:rPr>
                <w:rFonts w:hint="eastAsia" w:ascii="仿宋_GB2312" w:hAnsi="仿宋_GB2312" w:eastAsia="仿宋_GB2312" w:cs="仿宋_GB2312"/>
                <w:iCs/>
                <w:color w:val="auto"/>
                <w:kern w:val="2"/>
                <w:sz w:val="21"/>
                <w:szCs w:val="21"/>
                <w:highlight w:val="none"/>
                <w:lang w:val="en-US" w:eastAsia="zh-CN" w:bidi="ar"/>
              </w:rPr>
            </w:pPr>
            <w:r>
              <w:rPr>
                <w:rFonts w:hint="eastAsia" w:ascii="仿宋_GB2312" w:hAnsi="仿宋_GB2312" w:eastAsia="仿宋_GB2312" w:cs="仿宋_GB2312"/>
                <w:iCs/>
                <w:color w:val="auto"/>
                <w:kern w:val="2"/>
                <w:sz w:val="21"/>
                <w:szCs w:val="21"/>
                <w:highlight w:val="none"/>
                <w:lang w:val="en-US" w:eastAsia="zh-CN" w:bidi="ar"/>
              </w:rPr>
              <w:t>企业荣誉</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iCs/>
                <w:color w:val="auto"/>
                <w:kern w:val="2"/>
                <w:sz w:val="21"/>
                <w:szCs w:val="21"/>
                <w:highlight w:val="none"/>
                <w:lang w:val="en-US" w:eastAsia="zh-CN" w:bidi="ar"/>
              </w:rPr>
            </w:pPr>
            <w:r>
              <w:rPr>
                <w:rFonts w:hint="eastAsia" w:ascii="仿宋_GB2312" w:hAnsi="仿宋_GB2312" w:eastAsia="仿宋_GB2312" w:cs="仿宋_GB2312"/>
                <w:iCs/>
                <w:color w:val="auto"/>
                <w:kern w:val="2"/>
                <w:sz w:val="21"/>
                <w:szCs w:val="21"/>
                <w:highlight w:val="none"/>
                <w:lang w:val="en-US" w:eastAsia="zh-CN" w:bidi="ar"/>
              </w:rPr>
              <w:t>6</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3"/>
              <w:keepNext w:val="0"/>
              <w:keepLines w:val="0"/>
              <w:pageBreakBefore w:val="0"/>
              <w:numPr>
                <w:ilvl w:val="0"/>
                <w:numId w:val="0"/>
              </w:numPr>
              <w:kinsoku/>
              <w:wordWrap/>
              <w:overflowPunct/>
              <w:topLinePunct w:val="0"/>
              <w:autoSpaceDE/>
              <w:autoSpaceDN/>
              <w:bidi w:val="0"/>
              <w:spacing w:line="26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投标人近三年（自2020年1月1日起至投标截止之日，以获奖时间为准）获得过主管部门或行业协会颁发的工程造价行业相关的荣誉证明的，每项得2分，最高得6分。</w:t>
            </w:r>
          </w:p>
          <w:p>
            <w:pPr>
              <w:pStyle w:val="23"/>
              <w:keepNext w:val="0"/>
              <w:keepLines w:val="0"/>
              <w:pageBreakBefore w:val="0"/>
              <w:numPr>
                <w:ilvl w:val="0"/>
                <w:numId w:val="0"/>
              </w:numPr>
              <w:kinsoku/>
              <w:wordWrap/>
              <w:overflowPunct/>
              <w:topLinePunct w:val="0"/>
              <w:autoSpaceDE/>
              <w:autoSpaceDN/>
              <w:bidi w:val="0"/>
              <w:spacing w:line="260" w:lineRule="exact"/>
              <w:ind w:left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highlight w:val="none"/>
                <w:lang w:val="en-US" w:eastAsia="zh-CN"/>
              </w:rPr>
              <w:t>注：投标人须提供荣誉证明材料并加盖公章。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项目负责人</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8</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3"/>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(1)具备一级造价工程师注册证书的得2分。</w:t>
            </w:r>
          </w:p>
          <w:p>
            <w:pPr>
              <w:pStyle w:val="23"/>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(2)具备工程造价相关专业高级及以上职称的得3分。</w:t>
            </w:r>
          </w:p>
          <w:p>
            <w:pPr>
              <w:pStyle w:val="23"/>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(3)拟派项目负责人近三年</w:t>
            </w:r>
            <w:r>
              <w:rPr>
                <w:rFonts w:hint="eastAsia" w:ascii="仿宋_GB2312" w:hAnsi="仿宋_GB2312" w:eastAsia="仿宋_GB2312" w:cs="仿宋_GB2312"/>
                <w:color w:val="auto"/>
                <w:sz w:val="21"/>
                <w:szCs w:val="21"/>
                <w:highlight w:val="none"/>
                <w:lang w:val="en-US" w:eastAsia="zh-CN"/>
              </w:rPr>
              <w:t>（自2020年1月1日起至投标截止之日，以合同签订时间为准）</w:t>
            </w:r>
            <w:r>
              <w:rPr>
                <w:rFonts w:hint="eastAsia" w:ascii="仿宋_GB2312" w:hAnsi="仿宋_GB2312" w:eastAsia="仿宋_GB2312" w:cs="仿宋_GB2312"/>
                <w:color w:val="auto"/>
                <w:kern w:val="2"/>
                <w:sz w:val="21"/>
                <w:szCs w:val="21"/>
                <w:highlight w:val="none"/>
                <w:lang w:val="en-US" w:eastAsia="zh-CN" w:bidi="ar"/>
              </w:rPr>
              <w:t>承担过</w:t>
            </w:r>
            <w:r>
              <w:rPr>
                <w:rFonts w:hint="eastAsia" w:ascii="仿宋_GB2312" w:hAnsi="仿宋_GB2312" w:eastAsia="仿宋_GB2312" w:cs="仿宋_GB2312"/>
                <w:color w:val="auto"/>
                <w:sz w:val="21"/>
                <w:szCs w:val="21"/>
                <w:highlight w:val="none"/>
                <w:lang w:val="en-US" w:eastAsia="zh-CN"/>
              </w:rPr>
              <w:t>政府投资项目</w:t>
            </w:r>
            <w:r>
              <w:rPr>
                <w:rFonts w:hint="eastAsia" w:ascii="仿宋_GB2312" w:hAnsi="仿宋_GB2312" w:eastAsia="仿宋_GB2312" w:cs="仿宋_GB2312"/>
                <w:color w:val="auto"/>
                <w:kern w:val="2"/>
                <w:sz w:val="21"/>
                <w:szCs w:val="21"/>
                <w:highlight w:val="none"/>
                <w:lang w:val="en-US" w:eastAsia="zh-CN" w:bidi="ar"/>
              </w:rPr>
              <w:t>的每项得1分，最高得3分；</w:t>
            </w:r>
          </w:p>
          <w:p>
            <w:pPr>
              <w:pStyle w:val="23"/>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仿宋_GB2312" w:hAnsi="仿宋_GB2312" w:eastAsia="仿宋_GB2312" w:cs="仿宋_GB2312"/>
                <w:iCs/>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注：本项最高得8分。须提供注册证书复印件并加盖公章。高级及以上职称须提供职称证书加盖单位公章的扫描件，或提供相关职称管理/评审系统网上截图。</w:t>
            </w:r>
            <w:r>
              <w:rPr>
                <w:rFonts w:hint="eastAsia" w:ascii="仿宋_GB2312" w:hAnsi="仿宋_GB2312" w:eastAsia="仿宋_GB2312" w:cs="仿宋_GB2312"/>
                <w:color w:val="auto"/>
                <w:sz w:val="21"/>
                <w:szCs w:val="21"/>
                <w:highlight w:val="none"/>
              </w:rPr>
              <w:t>业绩证明须提供中标通知书</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如有</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合同</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成果文件</w:t>
            </w:r>
            <w:r>
              <w:rPr>
                <w:rFonts w:hint="eastAsia" w:ascii="仿宋_GB2312" w:hAnsi="仿宋_GB2312" w:eastAsia="仿宋_GB2312" w:cs="仿宋_GB2312"/>
                <w:color w:val="auto"/>
                <w:sz w:val="21"/>
                <w:szCs w:val="21"/>
                <w:highlight w:val="none"/>
              </w:rPr>
              <w:t>报告（</w:t>
            </w:r>
            <w:r>
              <w:rPr>
                <w:rFonts w:hint="eastAsia" w:ascii="仿宋_GB2312" w:hAnsi="仿宋_GB2312" w:eastAsia="仿宋_GB2312" w:cs="仿宋_GB2312"/>
                <w:color w:val="auto"/>
                <w:sz w:val="21"/>
                <w:szCs w:val="21"/>
                <w:highlight w:val="none"/>
                <w:lang w:val="en-US" w:eastAsia="zh-CN"/>
              </w:rPr>
              <w:t>如有</w:t>
            </w:r>
            <w:r>
              <w:rPr>
                <w:rFonts w:hint="eastAsia" w:ascii="仿宋_GB2312" w:hAnsi="仿宋_GB2312" w:eastAsia="仿宋_GB2312" w:cs="仿宋_GB2312"/>
                <w:color w:val="auto"/>
                <w:sz w:val="21"/>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项目团队人员</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13</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3"/>
              <w:keepNext w:val="0"/>
              <w:keepLines w:val="0"/>
              <w:pageBreakBefore w:val="0"/>
              <w:kinsoku/>
              <w:wordWrap/>
              <w:overflowPunct/>
              <w:topLinePunct w:val="0"/>
              <w:autoSpaceDE/>
              <w:autoSpaceDN/>
              <w:bidi w:val="0"/>
              <w:spacing w:line="260" w:lineRule="exact"/>
              <w:ind w:left="0" w:lef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(1)项目团队有土木建筑工程专业一级注册造价师参与本项目的（项目负责人除外），每1人得2分，最高得10分。</w:t>
            </w:r>
          </w:p>
          <w:p>
            <w:pPr>
              <w:pStyle w:val="23"/>
              <w:keepNext w:val="0"/>
              <w:keepLines w:val="0"/>
              <w:pageBreakBefore w:val="0"/>
              <w:kinsoku/>
              <w:wordWrap/>
              <w:overflowPunct/>
              <w:topLinePunct w:val="0"/>
              <w:autoSpaceDE/>
              <w:autoSpaceDN/>
              <w:bidi w:val="0"/>
              <w:spacing w:line="260" w:lineRule="exact"/>
              <w:ind w:left="0" w:lef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(2)项目团队人员中，有安装工程专业一级注册造价师参与本项目的（项目负责人除外），每1人得3分，最高得3分。</w:t>
            </w:r>
          </w:p>
          <w:p>
            <w:pPr>
              <w:pStyle w:val="23"/>
              <w:keepNext w:val="0"/>
              <w:keepLines w:val="0"/>
              <w:pageBreakBefore w:val="0"/>
              <w:kinsoku/>
              <w:wordWrap/>
              <w:overflowPunct/>
              <w:topLinePunct w:val="0"/>
              <w:autoSpaceDE/>
              <w:autoSpaceDN/>
              <w:bidi w:val="0"/>
              <w:spacing w:line="260" w:lineRule="exact"/>
              <w:ind w:left="0" w:lef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sz w:val="21"/>
                <w:szCs w:val="21"/>
                <w:highlight w:val="none"/>
              </w:rPr>
              <w:t>注：</w:t>
            </w:r>
            <w:r>
              <w:rPr>
                <w:rFonts w:hint="eastAsia" w:ascii="仿宋_GB2312" w:hAnsi="仿宋_GB2312" w:eastAsia="仿宋_GB2312" w:cs="仿宋_GB2312"/>
                <w:color w:val="auto"/>
                <w:kern w:val="2"/>
                <w:sz w:val="21"/>
                <w:szCs w:val="21"/>
                <w:highlight w:val="none"/>
                <w:lang w:val="en-US" w:eastAsia="zh-CN" w:bidi="ar"/>
              </w:rPr>
              <w:t>投标人须提供注册证书复印件并加盖公章。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5" w:hRule="atLeast"/>
          <w:jc w:val="center"/>
        </w:trPr>
        <w:tc>
          <w:tcPr>
            <w:tcW w:w="1619" w:type="dxa"/>
            <w:gridSpan w:val="2"/>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技术部分</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55</w:t>
            </w:r>
          </w:p>
        </w:tc>
        <w:tc>
          <w:tcPr>
            <w:tcW w:w="6515"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b/>
                <w:color w:val="auto"/>
                <w:sz w:val="21"/>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4"/>
              <w:keepNext w:val="0"/>
              <w:keepLines w:val="0"/>
              <w:pageBreakBefore w:val="0"/>
              <w:kinsoku/>
              <w:wordWrap/>
              <w:overflowPunct/>
              <w:topLinePunct w:val="0"/>
              <w:autoSpaceDE/>
              <w:autoSpaceDN/>
              <w:bidi w:val="0"/>
              <w:adjustRightInd/>
              <w:snapToGrid/>
              <w:spacing w:line="260" w:lineRule="exact"/>
              <w:ind w:left="0" w:leftChars="0" w:right="52" w:rightChars="0"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lang w:val="en-US" w:eastAsia="zh-CN" w:bidi="ar-SA"/>
              </w:rPr>
              <w:t>项目理解</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4"/>
              <w:keepNext w:val="0"/>
              <w:keepLines w:val="0"/>
              <w:pageBreakBefore w:val="0"/>
              <w:kinsoku/>
              <w:wordWrap/>
              <w:overflowPunct/>
              <w:topLinePunct w:val="0"/>
              <w:autoSpaceDE/>
              <w:autoSpaceDN/>
              <w:bidi w:val="0"/>
              <w:adjustRightInd/>
              <w:snapToGrid/>
              <w:spacing w:line="260" w:lineRule="exact"/>
              <w:ind w:left="0" w:leftChars="0" w:right="52" w:rightChars="0"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lang w:val="en-US" w:eastAsia="zh-CN" w:bidi="ar-SA"/>
              </w:rPr>
              <w:t>10</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5"/>
              <w:keepNext w:val="0"/>
              <w:keepLines w:val="0"/>
              <w:pageBreakBefore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投标人对项目的意图理解是否透彻，工作内容和范围理解是否准确充分，重点、难点的分析是否清晰、准确。优秀得10分，较好得7分，中等得4分，其它得1分。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4"/>
              <w:keepNext w:val="0"/>
              <w:keepLines w:val="0"/>
              <w:pageBreakBefore w:val="0"/>
              <w:kinsoku/>
              <w:wordWrap/>
              <w:overflowPunct/>
              <w:topLinePunct w:val="0"/>
              <w:autoSpaceDE/>
              <w:autoSpaceDN/>
              <w:bidi w:val="0"/>
              <w:adjustRightInd/>
              <w:snapToGrid/>
              <w:spacing w:line="260" w:lineRule="exact"/>
              <w:ind w:left="0" w:leftChars="0" w:right="-58" w:rightChars="0"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lang w:val="en-US" w:eastAsia="zh-CN" w:bidi="ar-SA"/>
              </w:rPr>
              <w:t>造价咨询服务方案</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4"/>
              <w:keepNext w:val="0"/>
              <w:keepLines w:val="0"/>
              <w:pageBreakBefore w:val="0"/>
              <w:kinsoku/>
              <w:wordWrap/>
              <w:overflowPunct/>
              <w:topLinePunct w:val="0"/>
              <w:autoSpaceDE/>
              <w:autoSpaceDN/>
              <w:bidi w:val="0"/>
              <w:adjustRightInd/>
              <w:snapToGrid/>
              <w:spacing w:line="260" w:lineRule="exact"/>
              <w:ind w:left="0" w:leftChars="0" w:right="-58" w:rightChars="0" w:firstLine="210" w:firstLineChars="100"/>
              <w:jc w:val="both"/>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lang w:val="en-US" w:eastAsia="zh-CN" w:bidi="ar-SA"/>
              </w:rPr>
              <w:t>10</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top"/>
          </w:tcPr>
          <w:p>
            <w:pPr>
              <w:pStyle w:val="24"/>
              <w:keepNext w:val="0"/>
              <w:keepLines w:val="0"/>
              <w:pageBreakBefore w:val="0"/>
              <w:kinsoku/>
              <w:wordWrap/>
              <w:overflowPunct/>
              <w:topLinePunct w:val="0"/>
              <w:autoSpaceDE/>
              <w:autoSpaceDN/>
              <w:bidi w:val="0"/>
              <w:adjustRightInd/>
              <w:snapToGrid/>
              <w:spacing w:line="260" w:lineRule="exact"/>
              <w:ind w:left="0" w:leftChars="0" w:right="-29" w:righ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投标人服务方案总体评价：服务方案整体是否符合本项目情况，工作方法及工作流程是否科学合理；对本项目的其他技术建议是否科学合理进行评分。优秀得10分，较好得7分，中等得4分，其它得1分。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重难点</w:t>
            </w:r>
          </w:p>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分析</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210" w:firstLineChars="1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lang w:val="en-US" w:eastAsia="zh-CN" w:bidi="ar-SA"/>
              </w:rPr>
              <w:t>10</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5"/>
              <w:keepNext w:val="0"/>
              <w:keepLines w:val="0"/>
              <w:pageBreakBefore w:val="0"/>
              <w:widowControl/>
              <w:numPr>
                <w:ilvl w:val="0"/>
                <w:numId w:val="0"/>
              </w:numPr>
              <w:tabs>
                <w:tab w:val="left" w:pos="452"/>
                <w:tab w:val="left" w:pos="602"/>
                <w:tab w:val="left" w:pos="644"/>
                <w:tab w:val="left" w:pos="959"/>
              </w:tabs>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重点、难点分析及有效解决方法；服务方案是否针对本项目重点、难点工作环节展开分析及提供有效解决方案进行评分。优秀得10分，较好得7分，中等得4分，其它得1分。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lang w:val="en-US" w:eastAsia="zh-CN" w:bidi="ar-SA"/>
              </w:rPr>
              <w:t>服务质量</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lang w:val="en-US" w:eastAsia="zh-CN" w:bidi="ar-SA"/>
              </w:rPr>
              <w:t>10</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5"/>
              <w:keepNext w:val="0"/>
              <w:keepLines w:val="0"/>
              <w:pageBreakBefore w:val="0"/>
              <w:widowControl/>
              <w:numPr>
                <w:ilvl w:val="0"/>
                <w:numId w:val="0"/>
              </w:numPr>
              <w:tabs>
                <w:tab w:val="left" w:pos="452"/>
                <w:tab w:val="left" w:pos="602"/>
                <w:tab w:val="left" w:pos="644"/>
                <w:tab w:val="left" w:pos="959"/>
              </w:tabs>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服务质量保证措施；服务方案质量保证措施是否科学可行，对保证措施是否具有可操作性进行评分。优秀得10分，较好得7分，中等得4分，其它得1分。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i w:val="0"/>
                <w:iCs w:val="0"/>
                <w:color w:val="auto"/>
                <w:kern w:val="0"/>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lang w:val="en-US" w:eastAsia="zh-CN" w:bidi="ar-SA"/>
              </w:rPr>
              <w:t>合理化</w:t>
            </w:r>
          </w:p>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lang w:val="en-US" w:eastAsia="zh-CN" w:bidi="ar-SA"/>
              </w:rPr>
              <w:t>建议</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lang w:val="en-US" w:eastAsia="zh-CN" w:bidi="ar-SA"/>
              </w:rPr>
              <w:t>5</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投标人对项目造价咨询工作建议是否合理、科学。优秀得5分，中等3分，其它得1分。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5"/>
              <w:keepNext w:val="0"/>
              <w:keepLines w:val="0"/>
              <w:pageBreakBefore w:val="0"/>
              <w:widowControl/>
              <w:tabs>
                <w:tab w:val="left" w:pos="452"/>
                <w:tab w:val="left" w:pos="602"/>
                <w:tab w:val="left" w:pos="644"/>
                <w:tab w:val="left" w:pos="959"/>
              </w:tabs>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内部管理制度</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仿宋_GB2312" w:hAnsi="仿宋_GB2312" w:eastAsia="仿宋_GB2312" w:cs="仿宋_GB2312"/>
                <w:i w:val="0"/>
                <w:iCs w:val="0"/>
                <w:color w:val="auto"/>
                <w:kern w:val="0"/>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lang w:val="en-US" w:eastAsia="zh-CN" w:bidi="ar-SA"/>
              </w:rPr>
              <w:t>5</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 xml:space="preserve">管理制度建设：具备风险防控制度、财务管理制度、保密制度、档案管理制度、人事管理制度，每提供一项证明材料的得 1分，最高得 5分；其他情况不得分。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50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tabs>
                <w:tab w:val="left" w:pos="210"/>
              </w:tabs>
              <w:kinsoku/>
              <w:wordWrap/>
              <w:overflowPunct/>
              <w:topLinePunct w:val="0"/>
              <w:autoSpaceDE/>
              <w:autoSpaceDN/>
              <w:bidi w:val="0"/>
              <w:spacing w:line="260" w:lineRule="exact"/>
              <w:ind w:firstLine="0" w:firstLineChars="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c>
          <w:tcPr>
            <w:tcW w:w="111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5"/>
              <w:keepNext w:val="0"/>
              <w:keepLines w:val="0"/>
              <w:pageBreakBefore w:val="0"/>
              <w:widowControl/>
              <w:tabs>
                <w:tab w:val="left" w:pos="452"/>
                <w:tab w:val="left" w:pos="602"/>
                <w:tab w:val="left" w:pos="644"/>
                <w:tab w:val="left" w:pos="959"/>
              </w:tabs>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沟通协调</w:t>
            </w:r>
          </w:p>
        </w:tc>
        <w:tc>
          <w:tcPr>
            <w:tcW w:w="8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2"/>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仿宋_GB2312" w:hAnsi="仿宋_GB2312" w:eastAsia="仿宋_GB2312" w:cs="仿宋_GB2312"/>
                <w:i w:val="0"/>
                <w:iCs w:val="0"/>
                <w:color w:val="auto"/>
                <w:kern w:val="0"/>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lang w:val="en-US" w:eastAsia="zh-CN" w:bidi="ar-SA"/>
              </w:rPr>
              <w:t>5</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25"/>
              <w:keepNext w:val="0"/>
              <w:keepLines w:val="0"/>
              <w:pageBreakBefore w:val="0"/>
              <w:widowControl/>
              <w:tabs>
                <w:tab w:val="left" w:pos="452"/>
                <w:tab w:val="left" w:pos="602"/>
                <w:tab w:val="left" w:pos="644"/>
                <w:tab w:val="left" w:pos="959"/>
              </w:tabs>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2"/>
                <w:sz w:val="21"/>
                <w:szCs w:val="21"/>
                <w:highlight w:val="none"/>
                <w:lang w:val="en-US" w:eastAsia="zh-CN" w:bidi="ar-SA"/>
              </w:rPr>
              <w:t>投标人与委托人的沟通和配合具备有效的方法和措施，优秀得5分，中等得3分，其它得1分。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 w:hRule="atLeast"/>
          <w:jc w:val="center"/>
        </w:trPr>
        <w:tc>
          <w:tcPr>
            <w:tcW w:w="2431"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最终得分相同的申请人</w:t>
            </w:r>
          </w:p>
          <w:p>
            <w:pPr>
              <w:keepNext w:val="0"/>
              <w:keepLines w:val="0"/>
              <w:pageBreakBefore w:val="0"/>
              <w:kinsoku/>
              <w:wordWrap/>
              <w:overflowPunct/>
              <w:topLinePunct w:val="0"/>
              <w:autoSpaceDE/>
              <w:autoSpaceDN/>
              <w:bidi w:val="0"/>
              <w:spacing w:line="260" w:lineRule="exact"/>
              <w:jc w:val="left"/>
              <w:rPr>
                <w:rFonts w:hint="eastAsia" w:ascii="仿宋_GB2312" w:hAnsi="仿宋_GB2312" w:eastAsia="仿宋_GB2312" w:cs="仿宋_GB2312"/>
                <w:b/>
                <w:bCs/>
                <w:i w:val="0"/>
                <w:iCs w:val="0"/>
                <w:color w:val="auto"/>
                <w:kern w:val="0"/>
                <w:sz w:val="21"/>
                <w:szCs w:val="21"/>
                <w:highlight w:val="none"/>
                <w:lang w:val="en-US" w:eastAsia="zh-CN" w:bidi="ar-SA"/>
              </w:rPr>
            </w:pPr>
            <w:r>
              <w:rPr>
                <w:rFonts w:hint="eastAsia" w:ascii="仿宋_GB2312" w:hAnsi="仿宋_GB2312" w:eastAsia="仿宋_GB2312" w:cs="仿宋_GB2312"/>
                <w:b/>
                <w:bCs/>
                <w:sz w:val="21"/>
                <w:szCs w:val="21"/>
              </w:rPr>
              <w:t>排序规则</w:t>
            </w:r>
          </w:p>
        </w:tc>
        <w:tc>
          <w:tcPr>
            <w:tcW w:w="651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260" w:lineRule="exact"/>
              <w:jc w:val="left"/>
              <w:rPr>
                <w:rFonts w:hint="eastAsia" w:ascii="仿宋_GB2312" w:hAnsi="仿宋_GB2312" w:eastAsia="仿宋_GB2312" w:cs="仿宋_GB2312"/>
                <w:b/>
                <w:bCs/>
                <w:i w:val="0"/>
                <w:iCs w:val="0"/>
                <w:color w:val="auto"/>
                <w:kern w:val="0"/>
                <w:sz w:val="21"/>
                <w:szCs w:val="21"/>
                <w:highlight w:val="none"/>
                <w:lang w:val="en-US" w:eastAsia="zh-CN" w:bidi="ar-SA"/>
              </w:rPr>
            </w:pPr>
            <w:r>
              <w:rPr>
                <w:rFonts w:hint="eastAsia" w:ascii="仿宋_GB2312" w:hAnsi="仿宋_GB2312" w:eastAsia="仿宋_GB2312" w:cs="仿宋_GB2312"/>
                <w:b/>
                <w:bCs/>
                <w:sz w:val="21"/>
                <w:szCs w:val="21"/>
              </w:rPr>
              <w:t>以“技术部分”得分高者优先</w:t>
            </w:r>
          </w:p>
        </w:tc>
      </w:tr>
    </w:tbl>
    <w:p>
      <w:pP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br w:type="page"/>
      </w:r>
    </w:p>
    <w:p>
      <w:pPr>
        <w:pStyle w:val="4"/>
        <w:snapToGrid w:val="0"/>
        <w:spacing w:line="240" w:lineRule="auto"/>
        <w:jc w:val="center"/>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4"/>
        <w:snapToGrid w:val="0"/>
        <w:spacing w:line="240" w:lineRule="auto"/>
        <w:jc w:val="center"/>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4"/>
        <w:snapToGrid w:val="0"/>
        <w:spacing w:line="240" w:lineRule="auto"/>
        <w:jc w:val="center"/>
        <w:rPr>
          <w:rFonts w:ascii="宋体" w:hAnsi="宋体" w:eastAsia="宋体" w:cs="宋体"/>
          <w:color w:val="auto"/>
          <w:szCs w:val="21"/>
        </w:rPr>
      </w:pPr>
      <w:r>
        <w:rPr>
          <w:rFonts w:hint="eastAsia" w:ascii="方正小标宋简体" w:hAnsi="方正小标宋简体" w:eastAsia="方正小标宋简体" w:cs="方正小标宋简体"/>
          <w:b w:val="0"/>
          <w:bCs w:val="0"/>
          <w:color w:val="auto"/>
          <w:kern w:val="2"/>
          <w:sz w:val="44"/>
          <w:szCs w:val="44"/>
          <w:lang w:val="en-US" w:eastAsia="zh-CN" w:bidi="ar-SA"/>
        </w:rPr>
        <w:t>响应文件提供内容及要求</w:t>
      </w:r>
    </w:p>
    <w:p>
      <w:pPr>
        <w:snapToGrid w:val="0"/>
        <w:spacing w:line="360" w:lineRule="auto"/>
        <w:rPr>
          <w:rFonts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一、法定代表人授权书（格式详见附1）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二、报价表（格式详见附2）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三、资格证明文件（格式详见附3），提供包括但不限于营业执照等证明文件。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四、拟投入人员情况（格式详见附4）</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1.项目负责人：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2.项目管理团队人员：供应商根据项目实际情况确定拟派管理人员，管理人员应具有类似项目经验。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五、类似业绩（格式详见附5）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供应商应具有类似项目业绩，提供近三年类似项目业绩材料。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六、企业资信（格式自拟）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七、技术文件（格式自拟）</w:t>
      </w:r>
    </w:p>
    <w:p>
      <w:pPr>
        <w:widowControl/>
        <w:jc w:val="left"/>
        <w:rPr>
          <w:rFonts w:ascii="宋体" w:hAnsi="宋体" w:eastAsia="宋体" w:cs="宋体"/>
          <w:color w:val="auto"/>
          <w:sz w:val="30"/>
          <w:szCs w:val="30"/>
        </w:rPr>
      </w:pPr>
      <w:r>
        <w:rPr>
          <w:rFonts w:ascii="宋体" w:hAnsi="宋体" w:eastAsia="宋体" w:cs="宋体"/>
          <w:color w:val="auto"/>
          <w:sz w:val="30"/>
          <w:szCs w:val="30"/>
        </w:rPr>
        <w:br w:type="page"/>
      </w:r>
    </w:p>
    <w:p>
      <w:pPr>
        <w:rPr>
          <w:rFonts w:hint="eastAsia" w:ascii="黑体" w:hAnsi="黑体" w:eastAsia="黑体" w:cs="黑体"/>
          <w:color w:val="auto"/>
          <w:sz w:val="32"/>
          <w:szCs w:val="32"/>
        </w:rPr>
      </w:pPr>
      <w:r>
        <w:rPr>
          <w:rFonts w:hint="eastAsia" w:ascii="黑体" w:hAnsi="黑体" w:eastAsia="黑体" w:cs="黑体"/>
          <w:color w:val="auto"/>
          <w:sz w:val="32"/>
          <w:szCs w:val="32"/>
        </w:rPr>
        <w:t>附1</w:t>
      </w:r>
    </w:p>
    <w:p>
      <w:pPr>
        <w:jc w:val="center"/>
        <w:rPr>
          <w:rFonts w:hint="eastAsia" w:ascii="宋体" w:hAnsi="宋体" w:eastAsia="宋体" w:cs="宋体"/>
          <w:b/>
          <w:bCs/>
          <w:color w:val="auto"/>
          <w:sz w:val="30"/>
          <w:szCs w:val="30"/>
        </w:rPr>
      </w:pPr>
    </w:p>
    <w:p>
      <w:pPr>
        <w:jc w:val="center"/>
        <w:rPr>
          <w:rFonts w:hint="eastAsia" w:ascii="宋体" w:hAnsi="宋体" w:eastAsia="宋体" w:cs="宋体"/>
          <w:b/>
          <w:bCs/>
          <w:color w:val="auto"/>
          <w:sz w:val="30"/>
          <w:szCs w:val="30"/>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法定代表人授权书</w:t>
      </w:r>
    </w:p>
    <w:p>
      <w:pPr>
        <w:spacing w:line="360" w:lineRule="auto"/>
        <w:rPr>
          <w:rFonts w:ascii="宋体" w:hAnsi="宋体" w:eastAsia="宋体" w:cs="宋体"/>
          <w:color w:val="auto"/>
          <w:szCs w:val="21"/>
        </w:rPr>
      </w:pPr>
    </w:p>
    <w:p>
      <w:pPr>
        <w:snapToGrid w:val="0"/>
        <w:spacing w:line="600" w:lineRule="exact"/>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本授权委托书声明：我</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（姓名）系</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（供应商名称）的法定代表人，现授权委托</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（单位名称）的</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（姓名）为我公司签署本项目已递交的响应文件的法定代表人的授权委托代理人，代理人全权代表我所签署的本项目已递交的响应文件内容我均承认。</w:t>
      </w: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代理人无转委托权，特此委托。</w:t>
      </w: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性别：</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年龄：</w:t>
      </w:r>
      <w:r>
        <w:rPr>
          <w:rFonts w:hint="eastAsia" w:ascii="仿宋_GB2312" w:hAnsi="仿宋_GB2312" w:eastAsia="仿宋_GB2312" w:cs="仿宋_GB2312"/>
          <w:color w:val="auto"/>
          <w:sz w:val="30"/>
          <w:szCs w:val="30"/>
          <w:u w:val="single"/>
        </w:rPr>
        <w:t xml:space="preserve">            </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身份证号码：</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职务：</w:t>
      </w:r>
      <w:r>
        <w:rPr>
          <w:rFonts w:hint="eastAsia" w:ascii="仿宋_GB2312" w:hAnsi="仿宋_GB2312" w:eastAsia="仿宋_GB2312" w:cs="仿宋_GB2312"/>
          <w:color w:val="auto"/>
          <w:sz w:val="30"/>
          <w:szCs w:val="30"/>
          <w:u w:val="single"/>
        </w:rPr>
        <w:t xml:space="preserve">             </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（盖章）</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（签字或盖章）</w:t>
      </w:r>
    </w:p>
    <w:p>
      <w:pPr>
        <w:snapToGrid w:val="0"/>
        <w:spacing w:line="360" w:lineRule="auto"/>
        <w:ind w:firstLine="576" w:firstLineChars="192"/>
        <w:rPr>
          <w:rFonts w:hint="eastAsia" w:ascii="仿宋_GB2312" w:hAnsi="仿宋_GB2312" w:eastAsia="仿宋_GB2312" w:cs="仿宋_GB2312"/>
          <w:color w:val="auto"/>
          <w:sz w:val="30"/>
          <w:szCs w:val="30"/>
        </w:rPr>
        <w:sectPr>
          <w:footerReference r:id="rId3" w:type="default"/>
          <w:pgSz w:w="11907" w:h="16840"/>
          <w:pgMar w:top="1247" w:right="1531" w:bottom="1134" w:left="1531" w:header="907" w:footer="907" w:gutter="0"/>
          <w:pgNumType w:fmt="decimal"/>
          <w:cols w:space="720" w:num="1"/>
          <w:docGrid w:linePitch="312" w:charSpace="0"/>
        </w:sectPr>
      </w:pPr>
      <w:r>
        <w:rPr>
          <w:rFonts w:hint="eastAsia" w:ascii="仿宋_GB2312" w:hAnsi="仿宋_GB2312" w:eastAsia="仿宋_GB2312" w:cs="仿宋_GB2312"/>
          <w:color w:val="auto"/>
          <w:sz w:val="30"/>
          <w:szCs w:val="30"/>
        </w:rPr>
        <w:t>授权委托日期：</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p>
    <w:p>
      <w:pPr>
        <w:rPr>
          <w:rFonts w:hint="eastAsia" w:ascii="黑体" w:hAnsi="黑体" w:eastAsia="黑体" w:cs="黑体"/>
          <w:color w:val="auto"/>
          <w:sz w:val="32"/>
          <w:szCs w:val="32"/>
        </w:rPr>
      </w:pPr>
      <w:r>
        <w:rPr>
          <w:rFonts w:hint="eastAsia" w:ascii="黑体" w:hAnsi="黑体" w:eastAsia="黑体" w:cs="黑体"/>
          <w:color w:val="auto"/>
          <w:sz w:val="32"/>
          <w:szCs w:val="32"/>
        </w:rPr>
        <w:t>附2</w:t>
      </w:r>
    </w:p>
    <w:p>
      <w:pPr>
        <w:jc w:val="center"/>
        <w:rPr>
          <w:rFonts w:ascii="宋体" w:hAnsi="宋体" w:eastAsia="宋体" w:cs="宋体"/>
          <w:b/>
          <w:bCs/>
          <w:color w:val="auto"/>
          <w:sz w:val="30"/>
          <w:szCs w:val="30"/>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报价单</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650" w:type="dxa"/>
            <w:vAlign w:val="center"/>
          </w:tcPr>
          <w:p>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供应商</w:t>
            </w:r>
            <w:r>
              <w:rPr>
                <w:rFonts w:hint="eastAsia" w:ascii="仿宋_GB2312" w:hAnsi="仿宋_GB2312" w:eastAsia="仿宋_GB2312" w:cs="仿宋_GB2312"/>
                <w:b/>
                <w:color w:val="auto"/>
                <w:sz w:val="30"/>
                <w:szCs w:val="30"/>
              </w:rPr>
              <w:t>名称</w:t>
            </w:r>
          </w:p>
        </w:tc>
        <w:tc>
          <w:tcPr>
            <w:tcW w:w="6298" w:type="dxa"/>
            <w:vAlign w:val="center"/>
          </w:tcPr>
          <w:p>
            <w:pPr>
              <w:pStyle w:val="9"/>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vAlign w:val="center"/>
          </w:tcPr>
          <w:p>
            <w:pPr>
              <w:pStyle w:val="9"/>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报价</w:t>
            </w:r>
            <w:r>
              <w:rPr>
                <w:rFonts w:hint="eastAsia" w:ascii="仿宋_GB2312" w:hAnsi="仿宋_GB2312" w:eastAsia="仿宋_GB2312" w:cs="仿宋_GB2312"/>
                <w:b/>
                <w:color w:val="auto"/>
                <w:sz w:val="30"/>
                <w:szCs w:val="30"/>
                <w:lang w:val="en-US" w:eastAsia="zh-CN"/>
              </w:rPr>
              <w:t>金额</w:t>
            </w:r>
          </w:p>
        </w:tc>
        <w:tc>
          <w:tcPr>
            <w:tcW w:w="6298" w:type="dxa"/>
            <w:vAlign w:val="center"/>
          </w:tcPr>
          <w:p>
            <w:pPr>
              <w:pStyle w:val="9"/>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vAlign w:val="center"/>
          </w:tcPr>
          <w:p>
            <w:pPr>
              <w:pStyle w:val="9"/>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合同履行期限</w:t>
            </w:r>
          </w:p>
        </w:tc>
        <w:tc>
          <w:tcPr>
            <w:tcW w:w="6298" w:type="dxa"/>
            <w:vAlign w:val="center"/>
          </w:tcPr>
          <w:p>
            <w:pPr>
              <w:pStyle w:val="9"/>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8" w:type="dxa"/>
            <w:gridSpan w:val="2"/>
            <w:vAlign w:val="top"/>
          </w:tcPr>
          <w:p>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备</w:t>
            </w:r>
            <w:r>
              <w:rPr>
                <w:rFonts w:hint="eastAsia" w:ascii="仿宋_GB2312" w:hAnsi="仿宋_GB2312" w:eastAsia="仿宋_GB2312" w:cs="仿宋_GB2312"/>
                <w:color w:val="auto"/>
                <w:sz w:val="30"/>
                <w:szCs w:val="30"/>
              </w:rPr>
              <w:t>注：</w:t>
            </w:r>
            <w:r>
              <w:rPr>
                <w:rFonts w:hint="eastAsia" w:ascii="仿宋_GB2312" w:hAnsi="仿宋_GB2312" w:eastAsia="仿宋_GB2312" w:cs="仿宋_GB2312"/>
                <w:color w:val="auto"/>
                <w:sz w:val="30"/>
                <w:szCs w:val="30"/>
                <w:lang w:eastAsia="zh-CN"/>
              </w:rPr>
              <w:t>所有填</w:t>
            </w:r>
            <w:r>
              <w:rPr>
                <w:rFonts w:hint="eastAsia" w:ascii="仿宋_GB2312" w:hAnsi="仿宋_GB2312" w:eastAsia="仿宋_GB2312" w:cs="仿宋_GB2312"/>
                <w:color w:val="auto"/>
                <w:sz w:val="30"/>
                <w:szCs w:val="30"/>
              </w:rPr>
              <w:t>写内容必须与其他文件一致，如有出入，以本表为准</w:t>
            </w:r>
            <w:r>
              <w:rPr>
                <w:rFonts w:hint="eastAsia" w:ascii="仿宋_GB2312" w:hAnsi="仿宋_GB2312" w:eastAsia="仿宋_GB2312" w:cs="仿宋_GB2312"/>
                <w:color w:val="auto"/>
                <w:sz w:val="30"/>
                <w:szCs w:val="30"/>
                <w:lang w:eastAsia="zh-CN"/>
              </w:rPr>
              <w:t>。</w:t>
            </w:r>
          </w:p>
        </w:tc>
      </w:tr>
    </w:tbl>
    <w:p>
      <w:pPr>
        <w:spacing w:line="500" w:lineRule="exact"/>
        <w:rPr>
          <w:rFonts w:hint="eastAsia" w:ascii="仿宋_GB2312" w:hAnsi="仿宋_GB2312" w:eastAsia="仿宋_GB2312" w:cs="仿宋_GB2312"/>
          <w:color w:val="auto"/>
          <w:sz w:val="24"/>
          <w:szCs w:val="24"/>
        </w:rPr>
      </w:pPr>
    </w:p>
    <w:p>
      <w:pPr>
        <w:spacing w:line="500" w:lineRule="exact"/>
        <w:rPr>
          <w:rFonts w:hint="eastAsia" w:ascii="仿宋_GB2312" w:hAnsi="仿宋_GB2312" w:eastAsia="仿宋_GB2312" w:cs="仿宋_GB2312"/>
          <w:color w:val="auto"/>
          <w:sz w:val="24"/>
          <w:szCs w:val="24"/>
        </w:rPr>
      </w:pPr>
    </w:p>
    <w:p>
      <w:pPr>
        <w:spacing w:line="500" w:lineRule="exact"/>
        <w:rPr>
          <w:rFonts w:hint="eastAsia" w:ascii="仿宋_GB2312" w:hAnsi="仿宋_GB2312" w:eastAsia="仿宋_GB2312" w:cs="仿宋_GB2312"/>
          <w:color w:val="auto"/>
          <w:sz w:val="24"/>
          <w:szCs w:val="24"/>
        </w:rPr>
      </w:pPr>
    </w:p>
    <w:p>
      <w:pPr>
        <w:spacing w:line="5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供应商法定代表人或授权代表签字：</w:t>
      </w:r>
      <w:r>
        <w:rPr>
          <w:rFonts w:hint="eastAsia" w:ascii="仿宋_GB2312" w:hAnsi="仿宋_GB2312" w:eastAsia="仿宋_GB2312" w:cs="仿宋_GB2312"/>
          <w:color w:val="auto"/>
          <w:sz w:val="30"/>
          <w:szCs w:val="30"/>
          <w:u w:val="single"/>
        </w:rPr>
        <w:t xml:space="preserve">                        </w:t>
      </w:r>
    </w:p>
    <w:p>
      <w:pPr>
        <w:spacing w:line="50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供应商名称（签章）：</w:t>
      </w:r>
      <w:r>
        <w:rPr>
          <w:rFonts w:hint="eastAsia" w:ascii="仿宋_GB2312" w:hAnsi="仿宋_GB2312" w:eastAsia="仿宋_GB2312" w:cs="仿宋_GB2312"/>
          <w:color w:val="auto"/>
          <w:sz w:val="30"/>
          <w:szCs w:val="30"/>
          <w:u w:val="single"/>
        </w:rPr>
        <w:t xml:space="preserve">                                     </w:t>
      </w:r>
    </w:p>
    <w:p>
      <w:pPr>
        <w:spacing w:line="5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时              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p>
    <w:p>
      <w:pPr>
        <w:jc w:val="center"/>
        <w:rPr>
          <w:rFonts w:hint="eastAsia" w:ascii="仿宋_GB2312" w:hAnsi="仿宋_GB2312" w:eastAsia="仿宋_GB2312" w:cs="仿宋_GB2312"/>
          <w:b/>
          <w:bCs/>
          <w:color w:val="auto"/>
          <w:sz w:val="30"/>
          <w:szCs w:val="30"/>
        </w:rPr>
      </w:pPr>
    </w:p>
    <w:p>
      <w:pPr>
        <w:rPr>
          <w:rFonts w:ascii="宋体" w:hAnsi="宋体" w:eastAsia="宋体" w:cs="宋体"/>
          <w:color w:val="auto"/>
          <w:sz w:val="24"/>
          <w:szCs w:val="24"/>
        </w:rPr>
      </w:pPr>
      <w:bookmarkStart w:id="5" w:name="_Toc450827823"/>
      <w:bookmarkStart w:id="6" w:name="_Toc477283142"/>
      <w:bookmarkStart w:id="7" w:name="_Toc46739705"/>
      <w:bookmarkStart w:id="8" w:name="_Toc259028731"/>
      <w:bookmarkStart w:id="9" w:name="_Toc470172717"/>
      <w:r>
        <w:rPr>
          <w:rFonts w:hint="eastAsia" w:ascii="宋体" w:hAnsi="宋体" w:eastAsia="宋体" w:cs="宋体"/>
          <w:color w:val="auto"/>
          <w:sz w:val="24"/>
          <w:szCs w:val="24"/>
        </w:rPr>
        <w:br w:type="page"/>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附3  </w:t>
      </w:r>
    </w:p>
    <w:p>
      <w:pPr>
        <w:pStyle w:val="5"/>
        <w:pageBreakBefore w:val="0"/>
        <w:kinsoku/>
        <w:wordWrap/>
        <w:overflowPunct/>
        <w:topLinePunct w:val="0"/>
        <w:autoSpaceDE/>
        <w:autoSpaceDN/>
        <w:bidi w:val="0"/>
        <w:adjustRightInd/>
        <w:spacing w:before="0" w:beforeAutospacing="0" w:after="0" w:afterAutospacing="0" w:line="440" w:lineRule="exact"/>
        <w:textAlignment w:val="auto"/>
        <w:rPr>
          <w:color w:val="auto"/>
        </w:rPr>
      </w:pPr>
    </w:p>
    <w:p>
      <w:pPr>
        <w:pageBreakBefore w:val="0"/>
        <w:kinsoku/>
        <w:wordWrap/>
        <w:overflowPunct/>
        <w:topLinePunct w:val="0"/>
        <w:autoSpaceDE/>
        <w:autoSpaceDN/>
        <w:bidi w:val="0"/>
        <w:adjustRightInd/>
        <w:spacing w:beforeAutospacing="0" w:afterAutospacing="0" w:line="4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资格证明文件</w:t>
      </w:r>
      <w:bookmarkEnd w:id="5"/>
      <w:bookmarkEnd w:id="6"/>
      <w:bookmarkEnd w:id="7"/>
      <w:bookmarkEnd w:id="8"/>
      <w:bookmarkEnd w:id="9"/>
    </w:p>
    <w:p>
      <w:pPr>
        <w:pStyle w:val="18"/>
        <w:rPr>
          <w:rFonts w:hint="eastAsia"/>
          <w:color w:val="auto"/>
        </w:rPr>
      </w:pPr>
    </w:p>
    <w:p>
      <w:pPr>
        <w:pageBreakBefore w:val="0"/>
        <w:numPr>
          <w:ilvl w:val="0"/>
          <w:numId w:val="0"/>
        </w:numPr>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营业执照和资质证书</w:t>
      </w:r>
    </w:p>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（格式自拟）</w:t>
      </w:r>
    </w:p>
    <w:p>
      <w:pPr>
        <w:pStyle w:val="18"/>
        <w:rPr>
          <w:rFonts w:hint="eastAsia"/>
          <w:color w:val="auto"/>
        </w:rPr>
      </w:pPr>
    </w:p>
    <w:p>
      <w:pPr>
        <w:pageBreakBefore w:val="0"/>
        <w:widowControl/>
        <w:kinsoku/>
        <w:wordWrap/>
        <w:overflowPunct/>
        <w:topLinePunct w:val="0"/>
        <w:autoSpaceDE/>
        <w:autoSpaceDN/>
        <w:bidi w:val="0"/>
        <w:adjustRightInd/>
        <w:spacing w:beforeAutospacing="0" w:afterAutospacing="0" w:line="440" w:lineRule="exact"/>
        <w:jc w:val="left"/>
        <w:textAlignment w:val="auto"/>
        <w:rPr>
          <w:rFonts w:hint="eastAsia" w:ascii="仿宋_GB2312" w:hAnsi="仿宋_GB2312" w:eastAsia="仿宋_GB2312" w:cs="仿宋_GB2312"/>
          <w:color w:val="auto"/>
          <w:kern w:val="0"/>
          <w:sz w:val="28"/>
          <w:szCs w:val="28"/>
        </w:rPr>
      </w:pPr>
      <w:bookmarkStart w:id="10" w:name="_Toc430164400"/>
      <w:bookmarkStart w:id="11" w:name="_Toc46739707"/>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w:t>
      </w:r>
      <w:bookmarkEnd w:id="10"/>
      <w:r>
        <w:rPr>
          <w:rFonts w:hint="eastAsia" w:ascii="仿宋_GB2312" w:hAnsi="仿宋_GB2312" w:eastAsia="仿宋_GB2312" w:cs="仿宋_GB2312"/>
          <w:b/>
          <w:bCs/>
          <w:color w:val="auto"/>
          <w:sz w:val="28"/>
          <w:szCs w:val="28"/>
        </w:rPr>
        <w:t>关于资格条件的有关承诺及声明</w:t>
      </w:r>
      <w:bookmarkEnd w:id="11"/>
    </w:p>
    <w:p>
      <w:pPr>
        <w:pageBreakBefore w:val="0"/>
        <w:kinsoku/>
        <w:wordWrap/>
        <w:overflowPunct/>
        <w:topLinePunct w:val="0"/>
        <w:autoSpaceDE/>
        <w:autoSpaceDN/>
        <w:bidi w:val="0"/>
        <w:adjustRightInd/>
        <w:snapToGrid w:val="0"/>
        <w:spacing w:beforeAutospacing="0" w:afterAutospacing="0"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中共武汉市委网络安全和信息化委员会办公室（武汉市互联网信息办公室）：</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一、我方在此郑重承诺，我方</w:t>
      </w:r>
      <w:r>
        <w:rPr>
          <w:rFonts w:hint="eastAsia" w:ascii="仿宋_GB2312" w:hAnsi="仿宋_GB2312" w:eastAsia="仿宋_GB2312" w:cs="仿宋_GB2312"/>
          <w:color w:val="auto"/>
          <w:sz w:val="28"/>
          <w:szCs w:val="28"/>
        </w:rPr>
        <w:t>满足资格要求规定且无纳税、社保等方面失信记录：</w:t>
      </w:r>
    </w:p>
    <w:p>
      <w:pPr>
        <w:pStyle w:val="13"/>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1、具有良好的商业信誉和健全的财务会计制度； </w:t>
      </w:r>
    </w:p>
    <w:p>
      <w:pPr>
        <w:pStyle w:val="13"/>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2、具有履行合同所必需的设备和专业技术能力； </w:t>
      </w:r>
    </w:p>
    <w:p>
      <w:pPr>
        <w:pStyle w:val="13"/>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3、有依法缴纳税收和社会保障资金的良好记录； </w:t>
      </w:r>
    </w:p>
    <w:p>
      <w:pPr>
        <w:pStyle w:val="13"/>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4、参加采购活动前三年内，在经营活动中没有重大违法记录； </w:t>
      </w:r>
    </w:p>
    <w:p>
      <w:pPr>
        <w:pageBreakBefore w:val="0"/>
        <w:kinsoku/>
        <w:wordWrap/>
        <w:overflowPunct/>
        <w:topLinePunct w:val="0"/>
        <w:autoSpaceDE/>
        <w:autoSpaceDN/>
        <w:bidi w:val="0"/>
        <w:adjustRightInd/>
        <w:snapToGrid w:val="0"/>
        <w:spacing w:beforeAutospacing="0" w:afterAutospacing="0" w:line="440" w:lineRule="exact"/>
        <w:ind w:firstLine="756" w:firstLineChars="27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5、法律、行政法规规定的其他条件。</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二、我方在此声明，我方在参加本</w:t>
      </w:r>
      <w:r>
        <w:rPr>
          <w:rFonts w:hint="eastAsia" w:ascii="仿宋_GB2312" w:hAnsi="仿宋_GB2312" w:eastAsia="仿宋_GB2312" w:cs="仿宋_GB2312"/>
          <w:color w:val="auto"/>
          <w:kern w:val="0"/>
          <w:sz w:val="28"/>
          <w:szCs w:val="28"/>
          <w:shd w:val="clear" w:color="auto" w:fill="FFFFFF"/>
        </w:rPr>
        <w:t>次采购活动前三年内，在经营活动中没有以下重大违法记录：</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1、我方因违法经营被追究过刑事责任；</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2、我方因违法经营被责令停产停业、吊销许可证或者执照；</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3、我方因违法经营被处以较大数额罚款等行政处罚。</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我方保证上述承诺或声明内容的客观、真实、准确，并愿意承担我方因提供虚假承诺或声明谋骗取中标、成交所引起的一切法律后果。</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特此声明！</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 </w:t>
      </w:r>
    </w:p>
    <w:p>
      <w:pPr>
        <w:pageBreakBefore w:val="0"/>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ageBreakBefore w:val="0"/>
        <w:widowControl/>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供应商授权代表签字：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ageBreakBefore w:val="0"/>
        <w:widowControl/>
        <w:kinsoku/>
        <w:wordWrap/>
        <w:overflowPunct/>
        <w:topLinePunct w:val="0"/>
        <w:autoSpaceDE/>
        <w:autoSpaceDN/>
        <w:bidi w:val="0"/>
        <w:adjustRightInd/>
        <w:spacing w:beforeAutospacing="0" w:afterAutospacing="0" w:line="440" w:lineRule="exact"/>
        <w:textAlignment w:val="auto"/>
        <w:rPr>
          <w:rFonts w:ascii="宋体" w:hAnsi="宋体" w:eastAsia="宋体" w:cs="宋体"/>
          <w:color w:val="auto"/>
          <w:sz w:val="30"/>
          <w:szCs w:val="30"/>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宋体" w:hAnsi="宋体" w:eastAsia="宋体" w:cs="宋体"/>
          <w:color w:val="auto"/>
          <w:sz w:val="30"/>
          <w:szCs w:val="30"/>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w:t>
      </w:r>
      <w:bookmarkStart w:id="12" w:name="_GoBack"/>
      <w:bookmarkEnd w:id="12"/>
      <w:r>
        <w:rPr>
          <w:rFonts w:hint="eastAsia" w:ascii="黑体" w:hAnsi="黑体" w:eastAsia="黑体" w:cs="黑体"/>
          <w:color w:val="auto"/>
          <w:sz w:val="32"/>
          <w:szCs w:val="32"/>
        </w:rPr>
        <w:t>4</w:t>
      </w:r>
    </w:p>
    <w:p>
      <w:pPr>
        <w:jc w:val="left"/>
        <w:rPr>
          <w:rFonts w:ascii="宋体" w:hAnsi="宋体" w:eastAsia="宋体" w:cs="宋体"/>
          <w:color w:val="auto"/>
          <w:sz w:val="30"/>
          <w:szCs w:val="30"/>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拟投入人员情况</w:t>
      </w:r>
    </w:p>
    <w:p>
      <w:pPr>
        <w:adjustRightInd w:val="0"/>
        <w:snapToGrid w:val="0"/>
        <w:rPr>
          <w:rFonts w:ascii="宋体" w:hAnsi="宋体" w:eastAsia="宋体" w:cs="宋体"/>
          <w:color w:val="auto"/>
          <w:szCs w:val="21"/>
        </w:rPr>
      </w:pPr>
      <w:r>
        <w:rPr>
          <w:rFonts w:hint="eastAsia" w:ascii="宋体" w:hAnsi="宋体" w:eastAsia="宋体" w:cs="宋体"/>
          <w:color w:val="auto"/>
          <w:szCs w:val="21"/>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881"/>
        <w:gridCol w:w="2188"/>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职务/职称</w:t>
            </w:r>
          </w:p>
        </w:tc>
        <w:tc>
          <w:tcPr>
            <w:tcW w:w="35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3571" w:type="dxa"/>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bl>
    <w:p>
      <w:pPr>
        <w:autoSpaceDE w:val="0"/>
        <w:autoSpaceDN w:val="0"/>
        <w:spacing w:before="156" w:beforeLines="50" w:after="156" w:afterLines="50" w:line="300" w:lineRule="auto"/>
        <w:rPr>
          <w:rFonts w:ascii="宋体" w:hAnsi="宋体" w:eastAsia="宋体" w:cs="宋体"/>
          <w:color w:val="auto"/>
          <w:kern w:val="0"/>
          <w:sz w:val="24"/>
          <w:szCs w:val="24"/>
        </w:rPr>
      </w:pPr>
    </w:p>
    <w:p>
      <w:pPr>
        <w:ind w:firstLine="3240" w:firstLineChars="1350"/>
        <w:jc w:val="right"/>
        <w:rPr>
          <w:rFonts w:ascii="宋体" w:hAnsi="宋体" w:eastAsia="宋体" w:cs="宋体"/>
          <w:color w:val="auto"/>
          <w:sz w:val="24"/>
          <w:szCs w:val="24"/>
        </w:rPr>
      </w:pPr>
    </w:p>
    <w:p>
      <w:pPr>
        <w:spacing w:line="30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供应商授权代表签字：</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ascii="宋体" w:hAnsi="宋体" w:eastAsia="宋体" w:cs="宋体"/>
          <w:color w:val="auto"/>
          <w:szCs w:val="21"/>
          <w:u w:val="single"/>
        </w:rPr>
      </w:pPr>
      <w:r>
        <w:rPr>
          <w:rFonts w:hint="eastAsia" w:ascii="仿宋_GB2312" w:hAnsi="仿宋_GB2312" w:eastAsia="仿宋_GB2312" w:cs="仿宋_GB2312"/>
          <w:color w:val="auto"/>
          <w:sz w:val="24"/>
          <w:szCs w:val="24"/>
        </w:rPr>
        <w:t>日期：</w:t>
      </w:r>
      <w:r>
        <w:rPr>
          <w:rFonts w:hint="eastAsia" w:ascii="仿宋_GB2312" w:hAnsi="仿宋_GB2312" w:eastAsia="仿宋_GB2312" w:cs="仿宋_GB2312"/>
          <w:color w:val="auto"/>
          <w:sz w:val="24"/>
          <w:szCs w:val="24"/>
          <w:u w:val="single"/>
        </w:rPr>
        <w:t xml:space="preserve">                     </w:t>
      </w:r>
      <w:r>
        <w:rPr>
          <w:rFonts w:hint="eastAsia" w:ascii="宋体" w:hAnsi="宋体" w:eastAsia="宋体" w:cs="宋体"/>
          <w:color w:val="auto"/>
          <w:sz w:val="24"/>
          <w:szCs w:val="24"/>
          <w:u w:val="single"/>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附5</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类似业绩一览表</w:t>
      </w:r>
    </w:p>
    <w:p>
      <w:pPr>
        <w:rPr>
          <w:rFonts w:ascii="宋体" w:hAnsi="宋体" w:eastAsia="宋体" w:cs="宋体"/>
          <w:bCs/>
          <w:color w:val="auto"/>
          <w:szCs w:val="21"/>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LINK Word.Document.8 "D:\\音乐厅\\4通用设备\\招标文件\\音乐厅空调设备招标文件v1.0.doc" "OLE_LINK8" \r  \* MERGEFORMAT </w:instrText>
      </w:r>
      <w:r>
        <w:rPr>
          <w:rFonts w:hint="eastAsia" w:ascii="宋体" w:hAnsi="宋体" w:eastAsia="宋体" w:cs="宋体"/>
          <w:bCs/>
          <w:color w:val="auto"/>
          <w:szCs w:val="21"/>
        </w:rPr>
        <w:fldChar w:fldCharType="separate"/>
      </w:r>
      <w:r>
        <w:rPr>
          <w:rFonts w:hint="eastAsia" w:ascii="宋体" w:hAnsi="宋体" w:eastAsia="宋体" w:cs="宋体"/>
          <w:bCs/>
          <w:color w:val="auto"/>
          <w:szCs w:val="21"/>
        </w:rPr>
        <w:t xml:space="preserve">                 </w:t>
      </w:r>
      <w:r>
        <w:rPr>
          <w:rFonts w:hint="eastAsia" w:ascii="宋体" w:hAnsi="宋体" w:eastAsia="宋体" w:cs="宋体"/>
          <w:bCs/>
          <w:color w:val="auto"/>
          <w:szCs w:val="21"/>
        </w:rPr>
        <w:fldChar w:fldCharType="end"/>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492"/>
        <w:gridCol w:w="2942"/>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15"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项目名称</w:t>
            </w:r>
          </w:p>
        </w:tc>
        <w:tc>
          <w:tcPr>
            <w:tcW w:w="294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合同总额</w:t>
            </w: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w:t>
            </w:r>
            <w:r>
              <w:rPr>
                <w:rFonts w:hint="eastAsia" w:ascii="仿宋_GB2312" w:hAnsi="仿宋_GB2312" w:eastAsia="仿宋_GB2312" w:cs="仿宋_GB2312"/>
                <w:color w:val="auto"/>
                <w:kern w:val="0"/>
                <w:sz w:val="24"/>
                <w:szCs w:val="24"/>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2492"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942" w:type="dxa"/>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2678" w:type="dxa"/>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bl>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p>
    <w:p>
      <w:pPr>
        <w:spacing w:line="30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供应商授权代表签字：</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color w:val="auto"/>
        </w:rPr>
      </w:pPr>
      <w:r>
        <w:rPr>
          <w:rFonts w:hint="eastAsia" w:ascii="仿宋_GB2312" w:hAnsi="仿宋_GB2312" w:eastAsia="仿宋_GB2312" w:cs="仿宋_GB2312"/>
          <w:color w:val="auto"/>
          <w:sz w:val="24"/>
          <w:szCs w:val="24"/>
        </w:rPr>
        <w:t>日期：</w:t>
      </w:r>
      <w:r>
        <w:rPr>
          <w:rFonts w:hint="eastAsia" w:ascii="仿宋_GB2312" w:hAnsi="仿宋_GB2312" w:eastAsia="仿宋_GB2312" w:cs="仿宋_GB2312"/>
          <w:color w:val="auto"/>
          <w:sz w:val="24"/>
          <w:szCs w:val="24"/>
          <w:u w:val="single"/>
        </w:rPr>
        <w:t xml:space="preserve">                     </w:t>
      </w:r>
    </w:p>
    <w:sectPr>
      <w:footerReference r:id="rId4" w:type="default"/>
      <w:pgSz w:w="11906" w:h="16838"/>
      <w:pgMar w:top="1701" w:right="1417" w:bottom="1417" w:left="147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16"/>
      <w:suff w:val="nothing"/>
      <w:lvlText w:val="%1%2.%3　"/>
      <w:lvlJc w:val="left"/>
      <w:pPr>
        <w:ind w:left="720" w:firstLine="0"/>
      </w:pPr>
      <w:rPr>
        <w:rFonts w:hint="eastAsia" w:ascii="黑体" w:hAnsi="Times New Roman" w:eastAsia="黑体"/>
        <w:b w:val="0"/>
        <w:i w:val="0"/>
        <w:sz w:val="21"/>
      </w:rPr>
    </w:lvl>
    <w:lvl w:ilvl="3" w:tentative="0">
      <w:start w:val="1"/>
      <w:numFmt w:val="decimal"/>
      <w:suff w:val="nothing"/>
      <w:lvlText w:val="%1%2.4.%4　"/>
      <w:lvlJc w:val="left"/>
      <w:pPr>
        <w:ind w:left="420" w:firstLine="0"/>
      </w:pPr>
      <w:rPr>
        <w:rFonts w:hint="eastAsia" w:ascii="黑体" w:hAnsi="Times New Roman" w:eastAsia="黑体"/>
        <w:b w:val="0"/>
        <w:i w:val="0"/>
        <w:sz w:val="21"/>
      </w:rPr>
    </w:lvl>
    <w:lvl w:ilvl="4" w:tentative="0">
      <w:start w:val="1"/>
      <w:numFmt w:val="decimal"/>
      <w:suff w:val="nothing"/>
      <w:lvlText w:val="5.%12.5.%5　"/>
      <w:lvlJc w:val="left"/>
      <w:pPr>
        <w:ind w:left="42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04481"/>
    <w:rsid w:val="1ED57DDA"/>
    <w:rsid w:val="21A24834"/>
    <w:rsid w:val="21AC6F43"/>
    <w:rsid w:val="230E0D2D"/>
    <w:rsid w:val="2876279F"/>
    <w:rsid w:val="301E13DC"/>
    <w:rsid w:val="35967231"/>
    <w:rsid w:val="3FB10DD3"/>
    <w:rsid w:val="4C922E18"/>
    <w:rsid w:val="70A35D84"/>
    <w:rsid w:val="73C52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120" w:after="120" w:line="300" w:lineRule="auto"/>
      <w:outlineLvl w:val="2"/>
    </w:pPr>
    <w:rPr>
      <w:rFonts w:ascii="宋体"/>
      <w:b/>
      <w:bCs/>
      <w:sz w:val="24"/>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annotation text"/>
    <w:basedOn w:val="1"/>
    <w:qFormat/>
    <w:uiPriority w:val="0"/>
    <w:pPr>
      <w:jc w:val="left"/>
    </w:pPr>
  </w:style>
  <w:style w:type="paragraph" w:styleId="7">
    <w:name w:val="Body Text Indent"/>
    <w:basedOn w:val="1"/>
    <w:next w:val="8"/>
    <w:qFormat/>
    <w:uiPriority w:val="99"/>
    <w:pPr>
      <w:spacing w:after="120"/>
      <w:ind w:left="420" w:leftChars="200"/>
    </w:pPr>
  </w:style>
  <w:style w:type="paragraph" w:customStyle="1" w:styleId="8">
    <w:name w:val="正文文本首行缩进 21"/>
    <w:basedOn w:val="7"/>
    <w:qFormat/>
    <w:uiPriority w:val="99"/>
    <w:pPr>
      <w:spacing w:line="200" w:lineRule="atLeast"/>
      <w:ind w:firstLine="420"/>
    </w:pPr>
    <w:rPr>
      <w:rFonts w:hAnsi="Courier New"/>
      <w:spacing w:val="-4"/>
      <w:sz w:val="18"/>
    </w:rPr>
  </w:style>
  <w:style w:type="paragraph" w:styleId="9">
    <w:name w:val="Plain Text"/>
    <w:basedOn w:val="1"/>
    <w:qFormat/>
    <w:uiPriority w:val="0"/>
    <w:pPr>
      <w:autoSpaceDE w:val="0"/>
      <w:autoSpaceDN w:val="0"/>
      <w:adjustRightInd w:val="0"/>
      <w:spacing w:line="460" w:lineRule="exact"/>
      <w:ind w:firstLine="420"/>
    </w:pPr>
    <w:rPr>
      <w:rFonts w:ascii="宋体" w:hAnsi="Courier New"/>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unhideWhenUsed/>
    <w:qFormat/>
    <w:uiPriority w:val="99"/>
    <w:pPr>
      <w:spacing w:after="120"/>
      <w:ind w:left="420" w:leftChars="200"/>
    </w:pPr>
    <w:rPr>
      <w:rFonts w:ascii="Calibri" w:hAnsi="Calibri"/>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
    <w:name w:val="一级条标题"/>
    <w:basedOn w:val="17"/>
    <w:next w:val="18"/>
    <w:qFormat/>
    <w:uiPriority w:val="0"/>
    <w:pPr>
      <w:numPr>
        <w:ilvl w:val="2"/>
      </w:numPr>
      <w:spacing w:beforeLines="0" w:afterLines="0"/>
      <w:outlineLvl w:val="2"/>
    </w:pPr>
  </w:style>
  <w:style w:type="paragraph" w:customStyle="1" w:styleId="17">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
    <w:name w:val="图表a"/>
    <w:basedOn w:val="1"/>
    <w:qFormat/>
    <w:uiPriority w:val="0"/>
    <w:pPr>
      <w:spacing w:line="440" w:lineRule="exact"/>
      <w:jc w:val="center"/>
    </w:pPr>
    <w:rPr>
      <w:szCs w:val="21"/>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paragraph" w:customStyle="1" w:styleId="21">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表格文字"/>
    <w:basedOn w:val="1"/>
    <w:qFormat/>
    <w:uiPriority w:val="0"/>
    <w:pPr>
      <w:spacing w:line="240" w:lineRule="auto"/>
      <w:ind w:firstLine="0" w:firstLineChars="0"/>
      <w:jc w:val="center"/>
      <w:textAlignment w:val="baseline"/>
    </w:pPr>
    <w:rPr>
      <w:kern w:val="0"/>
      <w:sz w:val="18"/>
      <w:szCs w:val="20"/>
    </w:rPr>
  </w:style>
  <w:style w:type="paragraph" w:customStyle="1" w:styleId="23">
    <w:name w:val="引用"/>
    <w:qFormat/>
    <w:uiPriority w:val="29"/>
    <w:pPr>
      <w:adjustRightInd w:val="0"/>
      <w:snapToGrid w:val="0"/>
      <w:spacing w:line="260" w:lineRule="exact"/>
      <w:ind w:firstLine="100" w:firstLineChars="100"/>
      <w:jc w:val="both"/>
    </w:pPr>
    <w:rPr>
      <w:rFonts w:ascii="Times New Roman" w:hAnsi="Times New Roman" w:eastAsia="宋体" w:cs="Times New Roman"/>
      <w:iCs/>
      <w:color w:val="000000"/>
      <w:sz w:val="18"/>
      <w:lang w:val="en-US" w:eastAsia="zh-CN" w:bidi="ar-SA"/>
    </w:rPr>
  </w:style>
  <w:style w:type="paragraph" w:customStyle="1" w:styleId="24">
    <w:name w:val="Table Paragraph"/>
    <w:basedOn w:val="1"/>
    <w:qFormat/>
    <w:uiPriority w:val="1"/>
  </w:style>
  <w:style w:type="paragraph" w:customStyle="1" w:styleId="25">
    <w:name w:val="引用1"/>
    <w:basedOn w:val="1"/>
    <w:next w:val="1"/>
    <w:qFormat/>
    <w:uiPriority w:val="29"/>
    <w:pPr>
      <w:autoSpaceDE/>
      <w:autoSpaceDN/>
      <w:jc w:val="both"/>
    </w:pPr>
    <w:rPr>
      <w:rFonts w:ascii="Calibri" w:hAnsi="Calibri" w:eastAsia="宋体" w:cs="Times New Roman"/>
      <w:i/>
      <w:iCs/>
      <w:color w:val="000000"/>
      <w:kern w:val="2"/>
      <w:sz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4656</Words>
  <Characters>4772</Characters>
  <Lines>0</Lines>
  <Paragraphs>0</Paragraphs>
  <TotalTime>9</TotalTime>
  <ScaleCrop>false</ScaleCrop>
  <LinksUpToDate>false</LinksUpToDate>
  <CharactersWithSpaces>5369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2023-05-10T10:04:00Z</dcterms:created>
  <dc:creator>wind</dc:creator>
  <cp:lastModifiedBy>wind</cp:lastModifiedBy>
  <dcterms:modified xsi:type="dcterms:W3CDTF">2023-06-02T01:44:06Z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CD4C1C317A2D4CE4B7FEEB98D23CBC8C_13</vt:lpwstr>
  </property>
</Properties>
</file>