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default" w:ascii="仿宋_GB2312" w:hAnsi="仿宋" w:eastAsia="仿宋_GB2312"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default" w:ascii="仿宋_GB2312" w:hAnsi="仿宋" w:eastAsia="仿宋_GB2312"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一、项目采购的技术规范和要求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（一）手动密集架技术参数说明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1、架体要求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（1）密集架主要由导轨、底盘、传动机构和架体（包括立柱、挂板、搁板、顶板、门板及侧护板）等零（部）件组合而成。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架顶应设防尘装置，列与列之间应装有20mm厚特种抗老化橡塑磁性密封条，门面列和中间移动列分别装有锁具和制动装置，每组密集架闭合后可用总锁锁住，形成一个封闭的整体，各列移开后可单独制动，确保人员安全，底部应设防鼠、防倾倒装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（3）搁板、挂板可沿立柱自由调整高度。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2、传动机构要求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传动机构、机械式自脱超越离合摇手体、多级速比1：6精制链轮等零（部）件组成。在负载情况下保持轻便、灵活、平稳，不得有失灵现象。提供权威检测机构出具的带CMA、ilac-MRA、CNAS标识及可查验二维码的传动板检测报告，检测内容包括但不限于:抑菌率达99%、金黄色葡萄球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摇把：摇把整体为7字型，手柄可折叠，摇动轻便，手柄摇动时能自动挂挡，密集架处于动或不动状态时，摇柄自行停于垂直位置。提供权威检测机构出具的带CMA、ilac-MRA、CNAS标识及可查验二维码的摇把检测报告；检测内容包括:抑菌率测试结果达99%、耐霉菌性等级达到0级、耐老化性500h测试（冲击强度的保持率≥60%、外观颜色变化评级≥3级）；检测依据必须符合GB/T31402-2015、GB/T1741-2020、GB/T32487-2016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（3）传动部件要求：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①传动轴：材料使用Φ20，45#冷拉实心圆钢，加工精度为3.2，经热处理调质，HB220-290。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②▲三合一轴承轮：集注铁滚轮，轴承，链轮于一体。不得用螺丝，电焊，铆钉等工艺连接。铁滚轮：采用高强度注铁滚轮，数控精加工成型，滚轮直径≧120mm。双边槽高度≧5mm,前后设计6根加强筋轮毂，与轨道接触面宽≧22mm。链轮：采用链轮为22齿45#钢，经锻压精密加工成型。轴承：采用E级双边调心轴承。三合一轴承轮具有高强度，不变形，抗氧化，承载能力大，摩擦阻力小，安装简单，易维护，结构紧凑等特点。（经载重实测手摇力度减轻30%）提供权威检测机构出具的带CMA、ilac-MRA、CNAS标识及可查验二维码的三合一轴承轮检测报告；检测内容包括:抑菌率测试结果达99%、金黄色葡萄球菌检测具有较好的抗菌效果、耐霉菌性等级达到0级、金属电镀层理化性能抗盐雾试验18h无锈点、重金属含量可溶性铅≤5mg/kg、可溶性镉≤5mg/kg、可溶性铬≤5mg/kg、可溶性汞≤5mg/kg；检测依据必须符合GB/T3325-2017、QB/T4371-2012、GB/T1741-2020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③连接管：采用优质钢管，表面防腐处理。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④链条：采用Φ8.5，节距12.7摩托车滚子链条。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⑤紧固件为45#、Q235－A钢标准化零件。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3、▲底盘要求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底盘3.0mm厚优质热轧钢板采用分段焊接后整体组装式，连接牢固、运输、安装方便，底梁各段连接采用螺栓紧固，纵梁上按节距冲有矩形槽，底梁节与节之间中隔板三折弯成型两头冲有矩形槽，正面折弯宽98mm±2mm，在插立柱位置与纵梁连接，使底梁架体不扭曲、错位和变形。以供立柱插入后用螺栓紧固。滚轮横梁采用四折成形，确保在外力作用下无任何变形情况发生。底梁下部应装有防倒支架以防架体倾倒。底梁两端封头横梁与纵梁牢固焊接，在直角处上平面均焊上三角形加强板。提供权威检测机构出具的带CMA、ilac-MRA、CNAS标识及可查验二维码的底盘检测报告；检测内容包括但不限于:1、金属外观要求：①焊接处应无脱焊、虚焊、焊穿、错位，表面波纹应均匀；②喷涂层应光滑均匀，色泽一致，应无流挂、疙瘩、皱皮、飞漆等缺陷；2、金属表面耐腐蚀 乙酸盐雾连续喷雾200小时试验：①涂层本身的耐腐蚀等级达到10级；②涂层对基材的保护等级达到10级。检测依据必须符合：GB/T3325-2017 《金属家具通用技术条件》；QB/T 3827-1999 《轻工产品金属镀层和化学处理层的耐腐蚀试验方法 乙酸盐雾试验（ASS）法》；QB/T 3832-1999 《轻工产品金属镀层腐蚀试验结果的评价》标准。同时提供在全国认证认可信息公共服务平台（http：//cx.cnca.cn）上查询的网页截图。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4、▲轨道要求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导轨采用20*20mm实心方钢，实心方钢置于3mm厚钢板上，轨道镀锌，轨道板折弯成形，塞焊而成，分段连接，膨胀螺栓紧固于地面。提供权威检测机构出具的带CMA、ilac-MRA、CNAS标识及可查验二维码的轨道检测报告，检测内容包括但不限于:抑菌率测试结果达99%、金黄色葡萄球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5、▲立柱要求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采用1.5mm厚优质冷轧钢板，六压筋一次成型，正面50mm压2根圆筋,双筋冲压仿生花纹图案，侧面39mm各压2根圆筋，立柱两面冲压可上、下调节的挂孔，孔距为53mm。成型立柱采用上、中、下三根连接横梁焊成整体，达到结构坚固合理、美观大方不变形。立柱下端直接插入底盘固定矩形孔内，通过螺栓紧固，立柱上端与顶板通过螺栓紧固，使立柱顶部形成整体，增强架体的整体刚性。提供权威检测机构出具的带CMA、ilac-MRA、CNAS标识及可查验二维码的仿生花纹立柱检测报告，检测内容包括但不限于:抑菌率达99%、金黄色葡萄球菌检测具有较好的抗菌效果、耐霉菌性等级达到0级、力学性能-拉伸试验屈服强度≥235MPa、抗拉强度370－500MPa、断后伸长率≥22%；检测依据必须符合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6、搁板、挂板、挡棒要求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搁板：采用1.0mm厚优质冷轧钢板，九面八折弯一次成形，厚度为≧25mm，正面压制两组圆筋，每组压筋数3条。侧面压制一组圆筋，每组压筋数2条。压筋工艺确保搁板不变形，外形美观，结构新颖，刚性足，承重能力强，每层承重80KG。满负载24小时后挠曲度≤2mm，卸载后自动恢复。提供权威检测机构出具的带CMA、ilac-MRA、CNAS标识及可查验二维码的九面八折弯搁板检测报告，检测内容包括但不限于:抑菌率测试结果达99%、金黄色葡萄球菌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挂板：采用1.0mm厚优质冷轧钢板冲压一次成型。挂板采用单边双挂钩，中间采用腰形拉伸翻边模成型，并上下各压制一条126*7mm加强筋。下端有四个搁板定位槽，使搁板嵌置于定位槽上。提供权威检测机构出具的带CMA、ilac-MRA、CNAS标识及可查验二维码的挂板检测报告，检测内容包括但不限于:抑菌率测试结果达99%、金黄色葡萄球菌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挡棒：采用0.8mm厚优质冷轧钢板，两头冲凹槽且带有防滑扣，模具冲压成型，折弯尺寸16*14mm，C型状，增强其强度且能阻挡档案滑向另一侧，沿立柱垂直方向可以自由调整高度。提供权威检测机构出具的带CMA、ilac-MRA、CNAS标识及可查验二维码的挡棒检测报告，检测内容包括但不限于:抑菌率测试结果达99%、金黄色葡萄球菌检测具有较好的抗菌效果、耐霉菌性等级达到0级、力学性能-拉伸试验屈服强度≥225MPa、抗拉强度370－500MPa、断后伸长率≥26%、重金属含量可溶性铅≤5mg/kg、可溶性镉≤5mg/kg、可溶性铬≤5mg/kg、可溶性汞≤5mg/kg；化学成分检测C≤0.20%、S≤0.045%、Mn≤1.40%、Si≤0.35%、P≤0.045%；检测依据必须符合GB/T3325-2017、QB/T4371-2012、GB/T1741-2020、GB/T700-2006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7、侧护板、门板、顶板、防尘板、防鼠板要求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侧板：采用1.0mm优质冷轧钢板，前侧面板采用上、中、下三段式组成，整体美观、结构合理、设计新颖。提供权威检测机构出具的带CMA、ilac-MRA、CNAS标识及可查验二维码的侧板检测报告；检测内容包括但不限于:抑菌率测试结果达99%、抗菌效果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铝合金镶嵌式伸缩密封装条：每列之间有缓冲镶嵌式密封条，基座采用厚度3mm厚铝合金材质，使得密封条更加平直，维护方便,密封与防撞性能更好，采用抗老化橡胶密封条。提供权威检测机构出具的带CMA、ilac-MRA、CNAS标识及可查验二维码的铝合金镶嵌式伸缩密封装条检测报告；检测内容包括但不限于:抑菌率测试结果达99%、金黄色葡萄球菌检测具有较好的抗菌效果、耐霉菌性等级达到0级、重金属含量可溶性铅≤5mg/kg、可溶性镉≤5mg/kg、可溶性铬≤5mg/kg、可溶性汞≤5mg/kg、耐老化试验500h后外观颜色评级不小于3级；检测依据必须符合GB/T3325-2017、QB/T4371-2012、GB/T1741-2020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门板：采用1.0mm厚优质冷轧钢板，门板正面四角采用数控转塔冲压仿生花纹图形。右门上豪华三级管理锁。组装后缝隙均匀，锁定紧密，开启灵活。提供权威检测机构出具的带CMA、ilac-MRA、CNAS标识及可查验二维码的印花门板检测报告，检测内容包括但不限于:抑菌率测试结果达99%、金黄色葡萄球菌检测具有较好的抗菌效果、耐霉菌性等级达到0级、力学性能-拉伸试验屈服强度≥235MPa、抗拉强度370－500MPa、断后伸长率≥22%；检测依据必须符合GB8624-2012、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顶板：采用0.6mm厚优质冷轧钢板，经双面六折弯，使用螺栓紧固于立柱上端，四角对焊，使其成框架结构。提供权威检测机构出具的带CMA、ilac-MRA、CNAS标识及可查验二维码的顶板检测报告，检测内容包括但不限于:抑菌率测试结果达99%、金黄色葡萄球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防尘板：采用0.6mm厚优质冷轧钢板，具有耐高温、耐腐蚀、防尘、防静电等特性。提供权威检测机构出具的带CMA、ilac-MRA、CNAS标识及可查验二维码的防尘板检测报告，检测内容包括但不限于:抑菌率测试结果达99%、大肠杆菌检测具有较好的抗菌效果、耐霉菌性等级达到0级、力学性能-拉伸试验屈服强度≥235MPa、抗拉强度370－500MPa、断后伸长率≥22%、重金属含量可溶性铅≤5mg/kg、可溶性镉≤5mg/kg、可溶性铬≤5mg/kg、可溶性汞≤5mg/kg；检测依据必须符合GB/T3325-2017、QB/T4371-2012、GB/T1741-2020、GB/T11253-2019及《2023年家具及人造板产品抽样检验实施方案》标准要求；同时提供在全国认证认可信息公共服务平台（http：//cx.cnca.cn）上查询的网页截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（6）防鼠板：采用0.6mm厚优质冷轧钢板，板体光滑表面经过防腐处理，坚硬、美观。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8、外观质量要求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（1）密集架架体外观应精美、线条流畅、操作应轻便灵活、运行平稳，并应是组合装配，便于搬迁和拆卸。各零件、组合件表面应光滑平整，不得有尖角、凸起。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（2）颜色按用户要求，表面经静电喷粉，高温塑化处理，色泽应一致，喷涂无死角，漆面应均匀光滑、无划痕。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 库房相关设备采购、安装及档案搬运上架相关要求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1、除湿机：</w:t>
      </w:r>
      <w:r>
        <w:rPr>
          <w:rFonts w:hint="eastAsia" w:ascii="仿宋_GB2312" w:hAnsi="仿宋" w:eastAsia="仿宋_GB2312" w:cs="仿宋"/>
          <w:sz w:val="32"/>
          <w:szCs w:val="32"/>
          <w:lang w:val="en-US" w:eastAsia="zh-CN"/>
        </w:rPr>
        <w:t>适用面积70平方米左右,除湿量为110L/D,具有除湿性能稳定,除湿效果显著以及低能耗、低噪音等特点,能快速降低环境空气湿度,彻底解决潮湿空气所造成的负面影响和危害。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2、防磁柜：</w:t>
      </w:r>
      <w:r>
        <w:rPr>
          <w:rFonts w:hint="eastAsia" w:ascii="仿宋_GB2312" w:hAnsi="仿宋" w:eastAsia="仿宋_GB2312" w:cs="仿宋"/>
          <w:sz w:val="32"/>
          <w:szCs w:val="32"/>
          <w:lang w:val="en-US" w:eastAsia="zh-CN"/>
        </w:rPr>
        <w:t>需采用优质冷轧钢，6抽，阻隔热源，防止强烈震源等原因引起的数据丢失，360°全面防磁。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3、温湿度记录仪：</w:t>
      </w:r>
      <w:r>
        <w:rPr>
          <w:rFonts w:hint="eastAsia" w:ascii="仿宋_GB2312" w:hAnsi="仿宋" w:eastAsia="仿宋_GB2312" w:cs="仿宋"/>
          <w:sz w:val="32"/>
          <w:szCs w:val="32"/>
          <w:lang w:val="en-US" w:eastAsia="zh-CN"/>
        </w:rPr>
        <w:t>高精度、WIFI传输、电池＋USB供电、离线存储，数据可导出及超限报警。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4、七氟丙烷自动灭火系统设备：</w:t>
      </w:r>
      <w:r>
        <w:rPr>
          <w:rFonts w:hint="eastAsia" w:ascii="仿宋_GB2312" w:hAnsi="仿宋" w:eastAsia="仿宋_GB2312" w:cs="仿宋"/>
          <w:sz w:val="32"/>
          <w:szCs w:val="32"/>
          <w:lang w:val="en-US" w:eastAsia="zh-CN"/>
        </w:rPr>
        <w:t>联动一整套报警设备，有火情第一时间即可得知，并提示火灾区域人员快速撤离火灾区域；10秒内迅速灭火；自动灭火无需人员操作，对防护区无二次污染，对库房内物品无二次损伤；采用国标七氟丙烷药剂。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5、漏水报警系统：</w:t>
      </w:r>
      <w:r>
        <w:rPr>
          <w:rFonts w:hint="eastAsia" w:ascii="仿宋_GB2312" w:hAnsi="仿宋" w:eastAsia="仿宋_GB2312" w:cs="仿宋"/>
          <w:sz w:val="32"/>
          <w:szCs w:val="32"/>
          <w:lang w:val="en-US" w:eastAsia="zh-CN"/>
        </w:rPr>
        <w:t>感应到房间地面有水，可通过远程报警。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6、空调：</w:t>
      </w:r>
      <w:r>
        <w:rPr>
          <w:rFonts w:hint="eastAsia" w:ascii="仿宋_GB2312" w:hAnsi="仿宋" w:eastAsia="仿宋_GB2312" w:cs="仿宋"/>
          <w:sz w:val="32"/>
          <w:szCs w:val="32"/>
          <w:lang w:val="en-US" w:eastAsia="zh-CN"/>
        </w:rPr>
        <w:t>配备的空调的规格需满足对应房间的面积大小。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7、阻燃窗帘：</w:t>
      </w:r>
      <w:r>
        <w:rPr>
          <w:rFonts w:hint="eastAsia" w:ascii="仿宋_GB2312" w:hAnsi="仿宋" w:eastAsia="仿宋_GB2312" w:cs="仿宋"/>
          <w:sz w:val="32"/>
          <w:szCs w:val="32"/>
          <w:lang w:val="en-US" w:eastAsia="zh-CN"/>
        </w:rPr>
        <w:t>具备阻燃防紫外功能的窗帘。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8、档案打包箱：</w:t>
      </w:r>
      <w:r>
        <w:rPr>
          <w:rFonts w:hint="eastAsia" w:ascii="仿宋_GB2312" w:hAnsi="仿宋" w:eastAsia="仿宋_GB2312" w:cs="仿宋"/>
          <w:sz w:val="32"/>
          <w:szCs w:val="32"/>
          <w:lang w:val="en-US" w:eastAsia="zh-CN"/>
        </w:rPr>
        <w:t>每个打包箱装一节密集架的档案（约19盒4公分）。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9、档案搬运：</w:t>
      </w:r>
      <w:r>
        <w:rPr>
          <w:rFonts w:hint="eastAsia" w:ascii="仿宋_GB2312" w:hAnsi="仿宋" w:eastAsia="仿宋_GB2312" w:cs="仿宋"/>
          <w:sz w:val="32"/>
          <w:szCs w:val="32"/>
          <w:lang w:val="en-US" w:eastAsia="zh-CN"/>
        </w:rPr>
        <w:t>约4200盒档案清点、打包、搬运、装卸、运输、上架。保证运输过程中，实体档案安全无遗失，同时，上架顺序准确无误。最少需安排一名档案工作人员全程参与，运输时间和运输路线应安全保密，确保档案搬运过程中全流程的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10、</w:t>
      </w:r>
      <w:r>
        <w:rPr>
          <w:rFonts w:hint="eastAsia" w:ascii="仿宋_GB2312" w:hAnsi="仿宋" w:eastAsia="仿宋_GB2312" w:cs="仿宋"/>
          <w:sz w:val="32"/>
          <w:szCs w:val="32"/>
          <w:lang w:val="en-US" w:eastAsia="zh-CN"/>
        </w:rPr>
        <w:t>库房示意图、阅档室制度等展板设计制作及安装。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11、通用设备计算机：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12、A4彩色多功能一体机：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13、档案管理系统：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14、档案数据迁移：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（如有相关疑问及未尽事项，请致电联系我办工作人员。）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（三）保密、责任事故及赔偿要求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1.</w:t>
      </w:r>
      <w:r>
        <w:rPr>
          <w:rFonts w:hint="eastAsia" w:ascii="仿宋_GB2312" w:hAnsi="仿宋" w:eastAsia="仿宋_GB2312" w:cs="仿宋"/>
          <w:sz w:val="32"/>
          <w:szCs w:val="32"/>
          <w:lang w:val="en-US" w:eastAsia="zh-CN"/>
        </w:rPr>
        <w:t>中标投标人须明确保密范围、保密要求及泄密责任。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2.</w:t>
      </w:r>
      <w:r>
        <w:rPr>
          <w:rFonts w:hint="eastAsia" w:ascii="仿宋_GB2312" w:hAnsi="仿宋" w:eastAsia="仿宋_GB2312" w:cs="仿宋"/>
          <w:sz w:val="32"/>
          <w:szCs w:val="32"/>
          <w:lang w:val="en-US" w:eastAsia="zh-CN"/>
        </w:rPr>
        <w:t>中标投标人须明确责任事故处理方式及赔偿责任。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3.</w:t>
      </w:r>
      <w:r>
        <w:rPr>
          <w:rFonts w:hint="eastAsia" w:ascii="仿宋_GB2312" w:hAnsi="仿宋" w:eastAsia="仿宋_GB2312" w:cs="仿宋"/>
          <w:sz w:val="32"/>
          <w:szCs w:val="32"/>
          <w:lang w:val="en-US" w:eastAsia="zh-CN"/>
        </w:rPr>
        <w:t>因中标投标人过失造成档案丢失、缺失、损毁等应承担相应责任，并协议约定处理与赔偿，法律法规对赔偿计算方法和赔偿额度有规定的从其规定。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b/>
          <w:bCs/>
          <w:sz w:val="32"/>
          <w:szCs w:val="32"/>
          <w:lang w:val="en-US" w:eastAsia="zh-CN"/>
        </w:rPr>
        <w:t>4.</w:t>
      </w:r>
      <w:r>
        <w:rPr>
          <w:rFonts w:hint="eastAsia" w:ascii="仿宋_GB2312" w:hAnsi="仿宋" w:eastAsia="仿宋_GB2312" w:cs="仿宋"/>
          <w:sz w:val="32"/>
          <w:szCs w:val="32"/>
          <w:lang w:val="en-US" w:eastAsia="zh-CN"/>
        </w:rPr>
        <w:t>因自然灾害、战争等不可抗力原因造成档案丢失、缺失、损毁等，中标投标人需配合积极处理，减少损失。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（四）需执行的国家相关标准、行业标准、地方标准或者其他标准、规范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《中华人民共和国保守国家秘密法》；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《中华人民共和国保守国家秘密法实施办法》；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《中华人民共和国档案法》；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《中华人民共和国档案法实施条例》；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《机关档案管理规定》国家档案局第13号令；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《档案馆建筑设计规范》（JGJ25-2010）；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《手动密集书架》（GB/T 13667.3-2013）；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《气体灭火系统设计规范》（GB50370-2005）；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《火灾自动报警系统设计规范》（GB50116-2013）；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《火灾自动报警系统施工及验收标准》（GB50166-2019）；</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《气体灭火系统施工及验收规范》（GB50263-2007）；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《档案装具》（DA/T 6-1992）；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二、服务要求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（一）服务期：原则为1个月。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（二）最终结算价格按照验收通过后的数量进行结算。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（三）项目实施地点：武汉市。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（四）售后服务响应时间：接到电话后1小时内响应，2小时内上门服务。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三、评分细则</w:t>
      </w:r>
      <w:bookmarkStart w:id="0" w:name="_GoBack"/>
      <w:bookmarkEnd w:id="0"/>
    </w:p>
    <w:tbl>
      <w:tblPr>
        <w:tblStyle w:val="15"/>
        <w:tblW w:w="10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701"/>
        <w:gridCol w:w="851"/>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74"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项目</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评审分项</w:t>
            </w: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分值</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评审标准及分值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174"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价格</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lang w:val="en-US" w:eastAsia="zh-CN"/>
              </w:rPr>
              <w:t>30</w:t>
            </w:r>
            <w:r>
              <w:rPr>
                <w:rFonts w:hint="eastAsia" w:ascii="宋体" w:hAnsi="宋体" w:eastAsia="宋体" w:cs="宋体"/>
                <w:b w:val="0"/>
                <w:i w:val="0"/>
                <w:caps w:val="0"/>
                <w:color w:val="000000"/>
                <w:spacing w:val="0"/>
                <w:w w:val="100"/>
                <w:kern w:val="1"/>
                <w:sz w:val="24"/>
                <w:szCs w:val="24"/>
              </w:rPr>
              <w:t>分</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投标报价</w:t>
            </w: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lang w:val="en-US" w:eastAsia="zh-CN"/>
              </w:rPr>
            </w:pPr>
            <w:r>
              <w:rPr>
                <w:rFonts w:hint="eastAsia" w:ascii="宋体" w:hAnsi="宋体" w:eastAsia="宋体" w:cs="宋体"/>
                <w:b w:val="0"/>
                <w:i w:val="0"/>
                <w:caps w:val="0"/>
                <w:color w:val="000000"/>
                <w:spacing w:val="0"/>
                <w:w w:val="100"/>
                <w:kern w:val="1"/>
                <w:sz w:val="24"/>
                <w:szCs w:val="24"/>
                <w:lang w:val="en-US" w:eastAsia="zh-CN"/>
              </w:rPr>
              <w:t>30</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满足</w:t>
            </w:r>
            <w:r>
              <w:rPr>
                <w:rFonts w:hint="eastAsia" w:ascii="宋体" w:hAnsi="宋体" w:eastAsia="宋体" w:cs="宋体"/>
                <w:b w:val="0"/>
                <w:i w:val="0"/>
                <w:caps w:val="0"/>
                <w:color w:val="000000"/>
                <w:spacing w:val="0"/>
                <w:w w:val="100"/>
                <w:sz w:val="24"/>
                <w:szCs w:val="24"/>
                <w:lang w:eastAsia="zh-CN"/>
              </w:rPr>
              <w:t>磋商文件</w:t>
            </w:r>
            <w:r>
              <w:rPr>
                <w:rFonts w:hint="eastAsia" w:ascii="宋体" w:hAnsi="宋体" w:eastAsia="宋体" w:cs="宋体"/>
                <w:b w:val="0"/>
                <w:i w:val="0"/>
                <w:caps w:val="0"/>
                <w:color w:val="000000"/>
                <w:spacing w:val="0"/>
                <w:w w:val="100"/>
                <w:sz w:val="24"/>
                <w:szCs w:val="24"/>
              </w:rPr>
              <w:t>要求且最终优惠投标价格最低的为评标基准价，其价格分为满分。其他投标人的价格分统一按照下列公式计算：</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left"/>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投标报价得分=（评标基准价／投标报价)×价格权值×100</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价格权值=</w:t>
            </w:r>
            <w:r>
              <w:rPr>
                <w:rFonts w:hint="eastAsia" w:ascii="宋体" w:hAnsi="宋体" w:eastAsia="宋体" w:cs="宋体"/>
                <w:b w:val="0"/>
                <w:i w:val="0"/>
                <w:caps w:val="0"/>
                <w:color w:val="000000"/>
                <w:spacing w:val="0"/>
                <w:w w:val="100"/>
                <w:sz w:val="24"/>
                <w:szCs w:val="24"/>
                <w:lang w:val="en-US" w:eastAsia="zh-CN"/>
              </w:rPr>
              <w:t>30</w:t>
            </w:r>
            <w:r>
              <w:rPr>
                <w:rFonts w:hint="eastAsia" w:ascii="宋体" w:hAnsi="宋体" w:eastAsia="宋体" w:cs="宋体"/>
                <w:b w:val="0"/>
                <w:i w:val="0"/>
                <w:caps w:val="0"/>
                <w:color w:val="000000"/>
                <w:spacing w:val="0"/>
                <w:w w:val="100"/>
                <w:sz w:val="24"/>
                <w:szCs w:val="24"/>
              </w:rPr>
              <w:t>%</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注：磋商小组认为供应商的报价明显低于其他通过符合性审查供应商的报价，不能诚信履约的，应当要求其在磋商现场合理的时间内提供书面说明，必要时提交相关证明材料；供应商不能证明其报价合理性的，磋商小组应当将其作为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74"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商务</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部分</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rPr>
            </w:pPr>
            <w:r>
              <w:rPr>
                <w:rFonts w:hint="eastAsia" w:ascii="宋体" w:hAnsi="宋体" w:eastAsia="宋体" w:cs="宋体"/>
                <w:b w:val="0"/>
                <w:i w:val="0"/>
                <w:caps w:val="0"/>
                <w:color w:val="000000"/>
                <w:spacing w:val="0"/>
                <w:w w:val="100"/>
                <w:sz w:val="24"/>
                <w:szCs w:val="24"/>
              </w:rPr>
              <w:t>1</w:t>
            </w:r>
            <w:r>
              <w:rPr>
                <w:rFonts w:hint="eastAsia" w:ascii="宋体" w:hAnsi="宋体" w:eastAsia="宋体" w:cs="宋体"/>
                <w:b w:val="0"/>
                <w:i w:val="0"/>
                <w:caps w:val="0"/>
                <w:color w:val="000000"/>
                <w:spacing w:val="0"/>
                <w:w w:val="100"/>
                <w:sz w:val="24"/>
                <w:szCs w:val="24"/>
                <w:lang w:val="en-US" w:eastAsia="zh-CN"/>
              </w:rPr>
              <w:t>5分</w:t>
            </w:r>
          </w:p>
        </w:tc>
        <w:tc>
          <w:tcPr>
            <w:tcW w:w="170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类似业绩</w:t>
            </w:r>
          </w:p>
        </w:tc>
        <w:tc>
          <w:tcPr>
            <w:tcW w:w="851" w:type="dxa"/>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11</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2021</w:t>
            </w:r>
            <w:r>
              <w:rPr>
                <w:rFonts w:hint="eastAsia" w:ascii="宋体" w:hAnsi="宋体" w:eastAsia="宋体" w:cs="宋体"/>
                <w:b w:val="0"/>
                <w:i w:val="0"/>
                <w:caps w:val="0"/>
                <w:color w:val="000000"/>
                <w:spacing w:val="0"/>
                <w:w w:val="100"/>
                <w:sz w:val="24"/>
                <w:szCs w:val="24"/>
              </w:rPr>
              <w:t>年以来，承担过类似项目业绩</w:t>
            </w:r>
            <w:r>
              <w:rPr>
                <w:rFonts w:hint="eastAsia" w:ascii="宋体" w:hAnsi="宋体" w:eastAsia="宋体" w:cs="宋体"/>
                <w:b w:val="0"/>
                <w:i w:val="0"/>
                <w:caps w:val="0"/>
                <w:color w:val="000000"/>
                <w:spacing w:val="0"/>
                <w:w w:val="100"/>
                <w:sz w:val="24"/>
                <w:szCs w:val="24"/>
                <w:lang w:eastAsia="zh-CN"/>
              </w:rPr>
              <w:t>（含档案柜或档案密集架）</w:t>
            </w:r>
            <w:r>
              <w:rPr>
                <w:rFonts w:hint="eastAsia" w:ascii="宋体" w:hAnsi="宋体" w:eastAsia="宋体" w:cs="宋体"/>
                <w:b w:val="0"/>
                <w:i w:val="0"/>
                <w:caps w:val="0"/>
                <w:color w:val="000000"/>
                <w:spacing w:val="0"/>
                <w:w w:val="100"/>
                <w:sz w:val="24"/>
                <w:szCs w:val="24"/>
              </w:rPr>
              <w:t>的，每提供一份得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分，最高得</w:t>
            </w:r>
            <w:r>
              <w:rPr>
                <w:rFonts w:hint="eastAsia" w:ascii="宋体" w:hAnsi="宋体" w:eastAsia="宋体" w:cs="宋体"/>
                <w:b w:val="0"/>
                <w:i w:val="0"/>
                <w:caps w:val="0"/>
                <w:color w:val="000000"/>
                <w:spacing w:val="0"/>
                <w:w w:val="100"/>
                <w:sz w:val="24"/>
                <w:szCs w:val="24"/>
                <w:lang w:val="en-US" w:eastAsia="zh-CN"/>
              </w:rPr>
              <w:t>6</w:t>
            </w:r>
            <w:r>
              <w:rPr>
                <w:rFonts w:hint="eastAsia" w:ascii="宋体" w:hAnsi="宋体" w:eastAsia="宋体" w:cs="宋体"/>
                <w:b w:val="0"/>
                <w:i w:val="0"/>
                <w:caps w:val="0"/>
                <w:color w:val="000000"/>
                <w:spacing w:val="0"/>
                <w:w w:val="100"/>
                <w:sz w:val="24"/>
                <w:szCs w:val="24"/>
              </w:rPr>
              <w:t>分</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承担过类似项目业绩</w:t>
            </w:r>
            <w:r>
              <w:rPr>
                <w:rFonts w:hint="eastAsia" w:ascii="宋体" w:hAnsi="宋体" w:eastAsia="宋体" w:cs="宋体"/>
                <w:b w:val="0"/>
                <w:i w:val="0"/>
                <w:caps w:val="0"/>
                <w:color w:val="000000"/>
                <w:spacing w:val="0"/>
                <w:w w:val="100"/>
                <w:sz w:val="24"/>
                <w:szCs w:val="24"/>
                <w:lang w:eastAsia="zh-CN"/>
              </w:rPr>
              <w:t>（含档案搬运的）的，</w:t>
            </w:r>
            <w:r>
              <w:rPr>
                <w:rFonts w:hint="eastAsia" w:ascii="宋体" w:hAnsi="宋体" w:eastAsia="宋体" w:cs="宋体"/>
                <w:b w:val="0"/>
                <w:i w:val="0"/>
                <w:caps w:val="0"/>
                <w:color w:val="000000"/>
                <w:spacing w:val="0"/>
                <w:w w:val="100"/>
                <w:sz w:val="24"/>
                <w:szCs w:val="24"/>
              </w:rPr>
              <w:t>每提供一份得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分，最高得</w:t>
            </w:r>
            <w:r>
              <w:rPr>
                <w:rFonts w:hint="eastAsia" w:ascii="宋体" w:hAnsi="宋体" w:eastAsia="宋体" w:cs="宋体"/>
                <w:b w:val="0"/>
                <w:i w:val="0"/>
                <w:caps w:val="0"/>
                <w:color w:val="000000"/>
                <w:spacing w:val="0"/>
                <w:w w:val="100"/>
                <w:sz w:val="24"/>
                <w:szCs w:val="24"/>
                <w:lang w:val="en-US" w:eastAsia="zh-CN"/>
              </w:rPr>
              <w:t>5</w:t>
            </w:r>
            <w:r>
              <w:rPr>
                <w:rFonts w:hint="eastAsia" w:ascii="宋体" w:hAnsi="宋体" w:eastAsia="宋体" w:cs="宋体"/>
                <w:b w:val="0"/>
                <w:i w:val="0"/>
                <w:caps w:val="0"/>
                <w:color w:val="000000"/>
                <w:spacing w:val="0"/>
                <w:w w:val="100"/>
                <w:sz w:val="24"/>
                <w:szCs w:val="24"/>
              </w:rPr>
              <w:t>分。（须提供合同或成交通知书复印件并加盖公章，提供的资料模糊不清无法辨识的</w:t>
            </w:r>
            <w:r>
              <w:rPr>
                <w:rFonts w:hint="eastAsia" w:ascii="宋体" w:hAnsi="宋体" w:eastAsia="宋体" w:cs="宋体"/>
                <w:b w:val="0"/>
                <w:i w:val="0"/>
                <w:caps w:val="0"/>
                <w:color w:val="000000"/>
                <w:spacing w:val="0"/>
                <w:w w:val="100"/>
                <w:sz w:val="24"/>
                <w:szCs w:val="24"/>
                <w:lang w:eastAsia="zh-CN"/>
              </w:rPr>
              <w:t>，</w:t>
            </w:r>
            <w:r>
              <w:rPr>
                <w:rFonts w:hint="eastAsia" w:ascii="宋体" w:hAnsi="宋体" w:eastAsia="宋体" w:cs="宋体"/>
                <w:b w:val="0"/>
                <w:i w:val="0"/>
                <w:caps w:val="0"/>
                <w:color w:val="000000"/>
                <w:spacing w:val="0"/>
                <w:w w:val="100"/>
                <w:sz w:val="24"/>
                <w:szCs w:val="24"/>
              </w:rPr>
              <w:t>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jc w:val="center"/>
        </w:trPr>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eastAsia="zh-CN"/>
              </w:rPr>
            </w:pPr>
            <w:r>
              <w:rPr>
                <w:rFonts w:hint="eastAsia" w:ascii="宋体" w:hAnsi="宋体" w:eastAsia="宋体" w:cs="宋体"/>
                <w:b w:val="0"/>
                <w:i w:val="0"/>
                <w:caps w:val="0"/>
                <w:color w:val="000000"/>
                <w:spacing w:val="0"/>
                <w:w w:val="100"/>
                <w:sz w:val="24"/>
                <w:szCs w:val="24"/>
                <w:lang w:eastAsia="zh-CN"/>
              </w:rPr>
              <w:t>企业实力</w:t>
            </w: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highlight w:val="none"/>
                <w:lang w:val="en-US" w:eastAsia="zh-CN"/>
              </w:rPr>
              <w:t>4</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lang w:val="en-US" w:eastAsia="zh-CN"/>
              </w:rPr>
              <w:t xml:space="preserve">档案搬运需进行清点、封箱，档案中包含有保密要求的相关资料，供应商具有保密行政管理部门颁发的“国家秘密载体印制资质”乙级或以上资质 （档案数字化加工类）证书，得4分。（提供相关证书复印件并加盖公章，否则不得分）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74"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技术</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rPr>
              <w:t>评审</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r>
              <w:rPr>
                <w:rFonts w:hint="eastAsia" w:ascii="宋体" w:hAnsi="宋体" w:eastAsia="宋体" w:cs="宋体"/>
                <w:b w:val="0"/>
                <w:i w:val="0"/>
                <w:caps w:val="0"/>
                <w:color w:val="000000"/>
                <w:spacing w:val="0"/>
                <w:w w:val="100"/>
                <w:kern w:val="1"/>
                <w:sz w:val="24"/>
                <w:szCs w:val="24"/>
                <w:lang w:val="en-US" w:eastAsia="zh-CN"/>
              </w:rPr>
              <w:t>55</w:t>
            </w:r>
            <w:r>
              <w:rPr>
                <w:rFonts w:hint="eastAsia" w:ascii="宋体" w:hAnsi="宋体" w:eastAsia="宋体" w:cs="宋体"/>
                <w:b w:val="0"/>
                <w:i w:val="0"/>
                <w:caps w:val="0"/>
                <w:color w:val="000000"/>
                <w:spacing w:val="0"/>
                <w:w w:val="100"/>
                <w:kern w:val="1"/>
                <w:sz w:val="24"/>
                <w:szCs w:val="24"/>
              </w:rPr>
              <w:t>分</w:t>
            </w:r>
          </w:p>
        </w:tc>
        <w:tc>
          <w:tcPr>
            <w:tcW w:w="170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技术参数响应</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28</w:t>
            </w:r>
          </w:p>
        </w:tc>
        <w:tc>
          <w:tcPr>
            <w:tcW w:w="6520" w:type="dxa"/>
            <w:noWrap w:val="0"/>
            <w:vAlign w:val="center"/>
          </w:tcPr>
          <w:p>
            <w:pPr>
              <w:pStyle w:val="9"/>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投标人或产品制造商完全满足招标文件要求的得28分。带▲部分技术参数，每项不满足扣2分，非带▲部分技术参数，每项不满足扣1分，扣完为止。以投标文件响应情况为依据。</w:t>
            </w:r>
          </w:p>
          <w:p>
            <w:pPr>
              <w:pStyle w:val="9"/>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i w:val="0"/>
                <w:caps w:val="0"/>
                <w:color w:val="000000"/>
                <w:spacing w:val="0"/>
                <w:w w:val="100"/>
                <w:kern w:val="2"/>
                <w:sz w:val="24"/>
                <w:szCs w:val="24"/>
                <w:lang w:val="en-US" w:eastAsia="zh-CN" w:bidi="ar-SA"/>
              </w:rPr>
            </w:pPr>
            <w:r>
              <w:rPr>
                <w:rFonts w:hint="eastAsia" w:ascii="宋体" w:hAnsi="宋体" w:eastAsia="宋体" w:cs="宋体"/>
                <w:b w:val="0"/>
                <w:i w:val="0"/>
                <w:caps w:val="0"/>
                <w:color w:val="000000"/>
                <w:spacing w:val="0"/>
                <w:w w:val="100"/>
                <w:kern w:val="2"/>
                <w:sz w:val="24"/>
                <w:szCs w:val="24"/>
                <w:lang w:val="en-US" w:eastAsia="zh-CN" w:bidi="ar-SA"/>
              </w:rPr>
              <w:t>【注：需提供带CMA、ilac-MRA、CNAS标识及可查验二维码的检测报告（二维码扫描结果与检测报告内容一致），同时提供在全国认证认可信息公共服务平台（http：//cx.cnca.cn）上查询的网页截图。】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3" w:hRule="atLeast"/>
          <w:jc w:val="center"/>
        </w:trPr>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sz w:val="24"/>
                <w:szCs w:val="24"/>
              </w:rPr>
              <w:t>样品</w:t>
            </w:r>
          </w:p>
        </w:tc>
        <w:tc>
          <w:tcPr>
            <w:tcW w:w="851"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sz w:val="24"/>
                <w:szCs w:val="24"/>
              </w:rPr>
              <w:t>4</w:t>
            </w:r>
          </w:p>
        </w:tc>
        <w:tc>
          <w:tcPr>
            <w:tcW w:w="6520" w:type="dxa"/>
            <w:noWrap w:val="0"/>
            <w:vAlign w:val="top"/>
          </w:tcPr>
          <w:p>
            <w:pPr>
              <w:pStyle w:val="8"/>
              <w:keepNext w:val="0"/>
              <w:keepLines w:val="0"/>
              <w:pageBreakBefore w:val="0"/>
              <w:kinsoku/>
              <w:wordWrap/>
              <w:overflowPunct/>
              <w:topLinePunct w:val="0"/>
              <w:autoSpaceDE/>
              <w:autoSpaceDN/>
              <w:bidi w:val="0"/>
              <w:adjustRightInd/>
              <w:snapToGrid/>
              <w:spacing w:after="60" w:line="280" w:lineRule="exact"/>
              <w:jc w:val="left"/>
              <w:rPr>
                <w:rFonts w:hint="eastAsia" w:ascii="宋体" w:hAnsi="宋体" w:eastAsia="宋体" w:cs="宋体"/>
                <w:sz w:val="24"/>
                <w:szCs w:val="24"/>
              </w:rPr>
            </w:pPr>
            <w:r>
              <w:rPr>
                <w:rFonts w:hint="eastAsia" w:ascii="宋体" w:hAnsi="宋体" w:eastAsia="宋体" w:cs="宋体"/>
                <w:sz w:val="24"/>
                <w:szCs w:val="24"/>
              </w:rPr>
              <w:t>投标人提供以下样品作为佐证：</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sz w:val="24"/>
                <w:szCs w:val="24"/>
              </w:rPr>
            </w:pPr>
            <w:r>
              <w:rPr>
                <w:rFonts w:hint="eastAsia" w:ascii="宋体" w:hAnsi="宋体" w:eastAsia="宋体" w:cs="宋体"/>
                <w:sz w:val="24"/>
                <w:szCs w:val="24"/>
              </w:rPr>
              <w:t>1、铝合金镶嵌式伸缩密封装条（500mm）一段</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sz w:val="24"/>
                <w:szCs w:val="24"/>
              </w:rPr>
            </w:pPr>
            <w:r>
              <w:rPr>
                <w:rFonts w:hint="eastAsia" w:ascii="宋体" w:hAnsi="宋体" w:eastAsia="宋体" w:cs="宋体"/>
                <w:sz w:val="24"/>
                <w:szCs w:val="24"/>
              </w:rPr>
              <w:t>2、密集架门板(带锁)（长600mm*宽450mm）一块；</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sz w:val="24"/>
                <w:szCs w:val="24"/>
              </w:rPr>
            </w:pPr>
            <w:r>
              <w:rPr>
                <w:rFonts w:hint="eastAsia" w:ascii="宋体" w:hAnsi="宋体" w:eastAsia="宋体" w:cs="宋体"/>
                <w:sz w:val="24"/>
                <w:szCs w:val="24"/>
              </w:rPr>
              <w:t>3、密集架仿生花纹立柱长度（500mm）一段；</w:t>
            </w:r>
          </w:p>
          <w:p>
            <w:pPr>
              <w:pStyle w:val="8"/>
              <w:keepNext w:val="0"/>
              <w:keepLines w:val="0"/>
              <w:pageBreakBefore w:val="0"/>
              <w:kinsoku/>
              <w:wordWrap/>
              <w:overflowPunct/>
              <w:topLinePunct w:val="0"/>
              <w:autoSpaceDE/>
              <w:autoSpaceDN/>
              <w:bidi w:val="0"/>
              <w:adjustRightInd/>
              <w:snapToGrid/>
              <w:spacing w:after="60" w:line="280" w:lineRule="exact"/>
              <w:jc w:val="left"/>
              <w:rPr>
                <w:rFonts w:hint="eastAsia" w:ascii="宋体" w:hAnsi="宋体" w:eastAsia="宋体" w:cs="宋体"/>
                <w:sz w:val="24"/>
                <w:szCs w:val="24"/>
              </w:rPr>
            </w:pPr>
            <w:r>
              <w:rPr>
                <w:rFonts w:hint="eastAsia" w:ascii="宋体" w:hAnsi="宋体" w:eastAsia="宋体" w:cs="宋体"/>
                <w:sz w:val="24"/>
                <w:szCs w:val="24"/>
              </w:rPr>
              <w:t>4、密集架三合一轴承轮一个。</w:t>
            </w:r>
          </w:p>
          <w:p>
            <w:pPr>
              <w:pStyle w:val="8"/>
              <w:keepNext w:val="0"/>
              <w:keepLines w:val="0"/>
              <w:pageBreakBefore w:val="0"/>
              <w:kinsoku/>
              <w:wordWrap/>
              <w:overflowPunct/>
              <w:topLinePunct w:val="0"/>
              <w:autoSpaceDE/>
              <w:autoSpaceDN/>
              <w:bidi w:val="0"/>
              <w:adjustRightInd/>
              <w:snapToGrid/>
              <w:spacing w:after="60" w:line="280" w:lineRule="exact"/>
              <w:jc w:val="left"/>
              <w:rPr>
                <w:rFonts w:hint="eastAsia" w:ascii="宋体" w:hAnsi="宋体" w:eastAsia="宋体" w:cs="宋体"/>
                <w:sz w:val="24"/>
                <w:szCs w:val="24"/>
              </w:rPr>
            </w:pPr>
            <w:r>
              <w:rPr>
                <w:rFonts w:hint="eastAsia" w:ascii="宋体" w:hAnsi="宋体" w:eastAsia="宋体" w:cs="宋体"/>
                <w:sz w:val="24"/>
                <w:szCs w:val="24"/>
              </w:rPr>
              <w:t>根据投标供应商提供的样品用材、生产工艺（包括焊接、打磨、喷涂、外观、成型质量等）进行评审：</w:t>
            </w:r>
          </w:p>
          <w:p>
            <w:pPr>
              <w:pStyle w:val="23"/>
              <w:keepNext w:val="0"/>
              <w:keepLines w:val="0"/>
              <w:pageBreakBefore w:val="0"/>
              <w:kinsoku/>
              <w:wordWrap/>
              <w:overflowPunct/>
              <w:topLinePunct w:val="0"/>
              <w:autoSpaceDE/>
              <w:autoSpaceDN/>
              <w:bidi w:val="0"/>
              <w:adjustRightInd/>
              <w:snapToGrid/>
              <w:spacing w:line="280" w:lineRule="exact"/>
              <w:ind w:firstLine="0" w:firstLineChars="0"/>
              <w:rPr>
                <w:rFonts w:hint="eastAsia" w:ascii="宋体" w:hAnsi="宋体" w:eastAsia="宋体" w:cs="宋体"/>
                <w:sz w:val="24"/>
                <w:szCs w:val="24"/>
              </w:rPr>
            </w:pPr>
            <w:r>
              <w:rPr>
                <w:rFonts w:hint="eastAsia" w:ascii="宋体" w:hAnsi="宋体" w:eastAsia="宋体" w:cs="宋体"/>
                <w:sz w:val="24"/>
                <w:szCs w:val="24"/>
              </w:rPr>
              <w:t>1.样品的工艺水平高，表面洁净，平整，无油垢；着色性好，色泽分布均匀，表面具有耐刮、耐污染情况的得2-4分；</w:t>
            </w:r>
          </w:p>
          <w:p>
            <w:pPr>
              <w:pStyle w:val="23"/>
              <w:keepNext w:val="0"/>
              <w:keepLines w:val="0"/>
              <w:pageBreakBefore w:val="0"/>
              <w:kinsoku/>
              <w:wordWrap/>
              <w:overflowPunct/>
              <w:topLinePunct w:val="0"/>
              <w:autoSpaceDE/>
              <w:autoSpaceDN/>
              <w:bidi w:val="0"/>
              <w:adjustRightInd/>
              <w:snapToGrid/>
              <w:spacing w:line="280" w:lineRule="exact"/>
              <w:ind w:firstLine="0" w:firstLineChars="0"/>
              <w:rPr>
                <w:rFonts w:hint="eastAsia" w:ascii="宋体" w:hAnsi="宋体" w:eastAsia="宋体" w:cs="宋体"/>
                <w:sz w:val="24"/>
                <w:szCs w:val="24"/>
              </w:rPr>
            </w:pPr>
            <w:r>
              <w:rPr>
                <w:rFonts w:hint="eastAsia" w:ascii="宋体" w:hAnsi="宋体" w:eastAsia="宋体" w:cs="宋体"/>
                <w:sz w:val="24"/>
                <w:szCs w:val="24"/>
              </w:rPr>
              <w:t>2.样品的工艺水平一般，表面较洁净，平整，无油垢；着色性一般，色泽分布一般，表面耐刮、耐污染情况一般的得1-2分；</w:t>
            </w:r>
          </w:p>
          <w:p>
            <w:pPr>
              <w:pStyle w:val="23"/>
              <w:keepNext w:val="0"/>
              <w:keepLines w:val="0"/>
              <w:pageBreakBefore w:val="0"/>
              <w:kinsoku/>
              <w:wordWrap/>
              <w:overflowPunct/>
              <w:topLinePunct w:val="0"/>
              <w:autoSpaceDE/>
              <w:autoSpaceDN/>
              <w:bidi w:val="0"/>
              <w:adjustRightInd/>
              <w:snapToGrid/>
              <w:spacing w:line="280" w:lineRule="exact"/>
              <w:ind w:firstLine="0" w:firstLineChars="0"/>
              <w:rPr>
                <w:rFonts w:hint="eastAsia" w:ascii="宋体" w:hAnsi="宋体" w:eastAsia="宋体" w:cs="宋体"/>
                <w:sz w:val="24"/>
                <w:szCs w:val="24"/>
              </w:rPr>
            </w:pPr>
            <w:r>
              <w:rPr>
                <w:rFonts w:hint="eastAsia" w:ascii="宋体" w:hAnsi="宋体" w:eastAsia="宋体" w:cs="宋体"/>
                <w:sz w:val="24"/>
                <w:szCs w:val="24"/>
              </w:rPr>
              <w:t>3.样品的工艺水平较差，表面不够洁净，平整；着色性较差，色泽分布较差，表面耐刮、耐污染情况较差的得0-1分；</w:t>
            </w:r>
          </w:p>
          <w:p>
            <w:pPr>
              <w:keepNext w:val="0"/>
              <w:keepLines w:val="0"/>
              <w:pageBreakBefore w:val="0"/>
              <w:kinsoku/>
              <w:wordWrap/>
              <w:overflowPunct/>
              <w:topLinePunct w:val="0"/>
              <w:autoSpaceDE/>
              <w:autoSpaceDN/>
              <w:bidi w:val="0"/>
              <w:adjustRightInd/>
              <w:snapToGrid/>
              <w:spacing w:line="280" w:lineRule="exact"/>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kern w:val="0"/>
                <w:sz w:val="24"/>
                <w:szCs w:val="24"/>
              </w:rPr>
              <w:t>【注：提供的样品制造工艺、材质要求、数量</w:t>
            </w:r>
            <w:r>
              <w:rPr>
                <w:rStyle w:val="18"/>
                <w:rFonts w:hint="eastAsia" w:ascii="宋体" w:hAnsi="宋体" w:eastAsia="宋体" w:cs="宋体"/>
                <w:sz w:val="24"/>
                <w:szCs w:val="24"/>
              </w:rPr>
              <w:t>及规格</w:t>
            </w:r>
            <w:r>
              <w:rPr>
                <w:rFonts w:hint="eastAsia" w:ascii="宋体" w:hAnsi="宋体" w:eastAsia="宋体" w:cs="宋体"/>
                <w:kern w:val="0"/>
                <w:sz w:val="24"/>
                <w:szCs w:val="24"/>
              </w:rPr>
              <w:t>不符合招标文件要求的，该评分项不得分。】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实施</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highlight w:val="none"/>
              </w:rPr>
            </w:pPr>
            <w:r>
              <w:rPr>
                <w:rFonts w:hint="eastAsia" w:ascii="宋体" w:hAnsi="宋体" w:eastAsia="宋体" w:cs="宋体"/>
                <w:b w:val="0"/>
                <w:i w:val="0"/>
                <w:caps w:val="0"/>
                <w:color w:val="000000"/>
                <w:spacing w:val="0"/>
                <w:w w:val="100"/>
                <w:kern w:val="2"/>
                <w:sz w:val="24"/>
                <w:szCs w:val="24"/>
                <w:highlight w:val="none"/>
              </w:rPr>
              <w:t>方案</w:t>
            </w: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highlight w:val="none"/>
                <w:lang w:val="en-US" w:eastAsia="zh-CN"/>
              </w:rPr>
            </w:pPr>
            <w:r>
              <w:rPr>
                <w:rFonts w:hint="eastAsia" w:ascii="宋体" w:hAnsi="宋体" w:eastAsia="宋体" w:cs="宋体"/>
                <w:b w:val="0"/>
                <w:i w:val="0"/>
                <w:caps w:val="0"/>
                <w:color w:val="000000"/>
                <w:spacing w:val="0"/>
                <w:w w:val="100"/>
                <w:kern w:val="2"/>
                <w:sz w:val="24"/>
                <w:szCs w:val="24"/>
                <w:highlight w:val="none"/>
                <w:lang w:val="en-US" w:eastAsia="zh-CN"/>
              </w:rPr>
              <w:t>12</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highlight w:val="none"/>
              </w:rPr>
            </w:pPr>
            <w:r>
              <w:rPr>
                <w:rFonts w:hint="eastAsia" w:ascii="宋体" w:hAnsi="宋体" w:eastAsia="宋体" w:cs="宋体"/>
                <w:b w:val="0"/>
                <w:i w:val="0"/>
                <w:caps w:val="0"/>
                <w:color w:val="000000"/>
                <w:spacing w:val="0"/>
                <w:w w:val="100"/>
                <w:sz w:val="24"/>
                <w:szCs w:val="24"/>
                <w:highlight w:val="none"/>
              </w:rPr>
              <w:t>供应商对项目需求理解透彻，针对指定设备能够提供合理、完整和科学的实施方案，得</w:t>
            </w:r>
            <w:r>
              <w:rPr>
                <w:rFonts w:hint="eastAsia" w:ascii="宋体" w:hAnsi="宋体" w:eastAsia="宋体" w:cs="宋体"/>
                <w:b w:val="0"/>
                <w:i w:val="0"/>
                <w:caps w:val="0"/>
                <w:color w:val="000000"/>
                <w:spacing w:val="0"/>
                <w:w w:val="100"/>
                <w:sz w:val="24"/>
                <w:szCs w:val="24"/>
                <w:highlight w:val="none"/>
                <w:lang w:val="en-US" w:eastAsia="zh-CN"/>
              </w:rPr>
              <w:t>12</w:t>
            </w:r>
            <w:r>
              <w:rPr>
                <w:rFonts w:hint="eastAsia" w:ascii="宋体" w:hAnsi="宋体" w:eastAsia="宋体" w:cs="宋体"/>
                <w:b w:val="0"/>
                <w:i w:val="0"/>
                <w:caps w:val="0"/>
                <w:color w:val="000000"/>
                <w:spacing w:val="0"/>
                <w:w w:val="100"/>
                <w:sz w:val="24"/>
                <w:szCs w:val="24"/>
                <w:highlight w:val="none"/>
              </w:rPr>
              <w:t>分；实施方案完善详细，描述较为准确得</w:t>
            </w:r>
            <w:r>
              <w:rPr>
                <w:rFonts w:hint="eastAsia" w:ascii="宋体" w:hAnsi="宋体" w:eastAsia="宋体" w:cs="宋体"/>
                <w:b w:val="0"/>
                <w:i w:val="0"/>
                <w:caps w:val="0"/>
                <w:color w:val="000000"/>
                <w:spacing w:val="0"/>
                <w:w w:val="100"/>
                <w:sz w:val="24"/>
                <w:szCs w:val="24"/>
                <w:highlight w:val="none"/>
                <w:lang w:val="en-US" w:eastAsia="zh-CN"/>
              </w:rPr>
              <w:t>8</w:t>
            </w:r>
            <w:r>
              <w:rPr>
                <w:rFonts w:hint="eastAsia" w:ascii="宋体" w:hAnsi="宋体" w:eastAsia="宋体" w:cs="宋体"/>
                <w:b w:val="0"/>
                <w:i w:val="0"/>
                <w:caps w:val="0"/>
                <w:color w:val="000000"/>
                <w:spacing w:val="0"/>
                <w:w w:val="100"/>
                <w:sz w:val="24"/>
                <w:szCs w:val="24"/>
                <w:highlight w:val="none"/>
              </w:rPr>
              <w:t>分；实施方案简单，针对性欠缺得</w:t>
            </w:r>
            <w:r>
              <w:rPr>
                <w:rFonts w:hint="eastAsia" w:ascii="宋体" w:hAnsi="宋体" w:eastAsia="宋体" w:cs="宋体"/>
                <w:b w:val="0"/>
                <w:i w:val="0"/>
                <w:caps w:val="0"/>
                <w:color w:val="000000"/>
                <w:spacing w:val="0"/>
                <w:w w:val="100"/>
                <w:sz w:val="24"/>
                <w:szCs w:val="24"/>
                <w:highlight w:val="none"/>
                <w:lang w:val="en-US" w:eastAsia="zh-CN"/>
              </w:rPr>
              <w:t>4</w:t>
            </w:r>
            <w:r>
              <w:rPr>
                <w:rFonts w:hint="eastAsia" w:ascii="宋体" w:hAnsi="宋体" w:eastAsia="宋体" w:cs="宋体"/>
                <w:b w:val="0"/>
                <w:i w:val="0"/>
                <w:caps w:val="0"/>
                <w:color w:val="000000"/>
                <w:spacing w:val="0"/>
                <w:w w:val="100"/>
                <w:sz w:val="24"/>
                <w:szCs w:val="24"/>
                <w:highlight w:val="none"/>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rPr>
            </w:pPr>
            <w:r>
              <w:rPr>
                <w:rFonts w:hint="eastAsia" w:ascii="宋体" w:hAnsi="宋体" w:eastAsia="宋体" w:cs="宋体"/>
                <w:b w:val="0"/>
                <w:i w:val="0"/>
                <w:caps w:val="0"/>
                <w:color w:val="000000"/>
                <w:spacing w:val="0"/>
                <w:w w:val="100"/>
                <w:kern w:val="2"/>
                <w:sz w:val="24"/>
                <w:szCs w:val="24"/>
              </w:rPr>
              <w:t>安装、验收</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rPr>
            </w:pPr>
            <w:r>
              <w:rPr>
                <w:rFonts w:hint="eastAsia" w:ascii="宋体" w:hAnsi="宋体" w:eastAsia="宋体" w:cs="宋体"/>
                <w:b w:val="0"/>
                <w:i w:val="0"/>
                <w:caps w:val="0"/>
                <w:color w:val="000000"/>
                <w:spacing w:val="0"/>
                <w:w w:val="100"/>
                <w:kern w:val="2"/>
                <w:sz w:val="24"/>
                <w:szCs w:val="24"/>
              </w:rPr>
              <w:t>测试方案</w:t>
            </w: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5</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有完整全面合理的安装、验收测试方案的得</w:t>
            </w:r>
            <w:r>
              <w:rPr>
                <w:rFonts w:hint="eastAsia" w:ascii="宋体" w:hAnsi="宋体" w:eastAsia="宋体" w:cs="宋体"/>
                <w:b w:val="0"/>
                <w:i w:val="0"/>
                <w:caps w:val="0"/>
                <w:color w:val="000000"/>
                <w:spacing w:val="0"/>
                <w:w w:val="100"/>
                <w:sz w:val="24"/>
                <w:szCs w:val="24"/>
                <w:lang w:val="en-US" w:eastAsia="zh-CN"/>
              </w:rPr>
              <w:t>5</w:t>
            </w:r>
            <w:r>
              <w:rPr>
                <w:rFonts w:hint="eastAsia" w:ascii="宋体" w:hAnsi="宋体" w:eastAsia="宋体" w:cs="宋体"/>
                <w:b w:val="0"/>
                <w:i w:val="0"/>
                <w:caps w:val="0"/>
                <w:color w:val="000000"/>
                <w:spacing w:val="0"/>
                <w:w w:val="100"/>
                <w:sz w:val="24"/>
                <w:szCs w:val="24"/>
              </w:rPr>
              <w:t>分；安装、验收测试方案合理的得</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分；安装、验收方案欠缺得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vMerge w:val="restart"/>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售后服务</w:t>
            </w:r>
          </w:p>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及承诺</w:t>
            </w: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sz w:val="24"/>
                <w:szCs w:val="24"/>
                <w:lang w:val="en-US" w:eastAsia="zh-CN"/>
              </w:rPr>
            </w:pPr>
            <w:r>
              <w:rPr>
                <w:rFonts w:hint="eastAsia" w:ascii="宋体" w:hAnsi="宋体" w:eastAsia="宋体" w:cs="宋体"/>
                <w:b w:val="0"/>
                <w:i w:val="0"/>
                <w:caps w:val="0"/>
                <w:color w:val="000000"/>
                <w:spacing w:val="0"/>
                <w:w w:val="100"/>
                <w:sz w:val="24"/>
                <w:szCs w:val="24"/>
                <w:lang w:val="en-US" w:eastAsia="zh-CN"/>
              </w:rPr>
              <w:t>3</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供应商的售后服务方案、技术支持方案及服务承诺详细、具体、完整、满足用户要求的得</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分；售后服务方案、技术支持方案及服务承诺一般、不够具体、基本满足用户要求的得</w:t>
            </w:r>
            <w:r>
              <w:rPr>
                <w:rFonts w:hint="eastAsia" w:ascii="宋体" w:hAnsi="宋体" w:eastAsia="宋体" w:cs="宋体"/>
                <w:b w:val="0"/>
                <w:i w:val="0"/>
                <w:caps w:val="0"/>
                <w:color w:val="000000"/>
                <w:spacing w:val="0"/>
                <w:w w:val="100"/>
                <w:sz w:val="24"/>
                <w:szCs w:val="24"/>
                <w:lang w:val="en-US" w:eastAsia="zh-CN"/>
              </w:rPr>
              <w:t>2</w:t>
            </w:r>
            <w:r>
              <w:rPr>
                <w:rFonts w:hint="eastAsia" w:ascii="宋体" w:hAnsi="宋体" w:eastAsia="宋体" w:cs="宋体"/>
                <w:b w:val="0"/>
                <w:i w:val="0"/>
                <w:caps w:val="0"/>
                <w:color w:val="000000"/>
                <w:spacing w:val="0"/>
                <w:w w:val="100"/>
                <w:sz w:val="24"/>
                <w:szCs w:val="24"/>
              </w:rPr>
              <w:t>分；售后服务方案、技术支持方案及服务承诺不完整的得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分；没有提供的不得分。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174"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1"/>
                <w:sz w:val="24"/>
                <w:szCs w:val="24"/>
              </w:rPr>
            </w:pPr>
          </w:p>
        </w:tc>
        <w:tc>
          <w:tcPr>
            <w:tcW w:w="1701" w:type="dxa"/>
            <w:vMerge w:val="continue"/>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rPr>
            </w:pPr>
          </w:p>
        </w:tc>
        <w:tc>
          <w:tcPr>
            <w:tcW w:w="851"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center"/>
              <w:textAlignment w:val="baseline"/>
              <w:rPr>
                <w:rFonts w:hint="eastAsia" w:ascii="宋体" w:hAnsi="宋体" w:eastAsia="宋体" w:cs="宋体"/>
                <w:b w:val="0"/>
                <w:i w:val="0"/>
                <w:caps w:val="0"/>
                <w:color w:val="000000"/>
                <w:spacing w:val="0"/>
                <w:w w:val="100"/>
                <w:kern w:val="2"/>
                <w:sz w:val="24"/>
                <w:szCs w:val="24"/>
                <w:lang w:val="en-US" w:eastAsia="zh-CN"/>
              </w:rPr>
            </w:pPr>
            <w:r>
              <w:rPr>
                <w:rFonts w:hint="eastAsia" w:ascii="宋体" w:hAnsi="宋体" w:eastAsia="宋体" w:cs="宋体"/>
                <w:b w:val="0"/>
                <w:i w:val="0"/>
                <w:caps w:val="0"/>
                <w:color w:val="000000"/>
                <w:spacing w:val="0"/>
                <w:w w:val="100"/>
                <w:kern w:val="2"/>
                <w:sz w:val="24"/>
                <w:szCs w:val="24"/>
                <w:lang w:val="en-US" w:eastAsia="zh-CN"/>
              </w:rPr>
              <w:t>3</w:t>
            </w:r>
          </w:p>
        </w:tc>
        <w:tc>
          <w:tcPr>
            <w:tcW w:w="6520" w:type="dxa"/>
            <w:noWrap w:val="0"/>
            <w:vAlign w:val="center"/>
          </w:tcPr>
          <w:p>
            <w:pPr>
              <w:keepNext w:val="0"/>
              <w:keepLines w:val="0"/>
              <w:pageBreakBefore w:val="0"/>
              <w:kinsoku/>
              <w:wordWrap/>
              <w:overflowPunct/>
              <w:topLinePunct w:val="0"/>
              <w:autoSpaceDE/>
              <w:autoSpaceDN/>
              <w:bidi w:val="0"/>
              <w:adjustRightInd/>
              <w:snapToGrid/>
              <w:spacing w:before="0" w:beforeAutospacing="0" w:after="0" w:afterAutospacing="0" w:line="280" w:lineRule="exact"/>
              <w:jc w:val="both"/>
              <w:textAlignment w:val="baseline"/>
              <w:rPr>
                <w:rFonts w:hint="eastAsia" w:ascii="宋体" w:hAnsi="宋体" w:eastAsia="宋体" w:cs="宋体"/>
                <w:b w:val="0"/>
                <w:i w:val="0"/>
                <w:caps w:val="0"/>
                <w:color w:val="000000"/>
                <w:spacing w:val="0"/>
                <w:w w:val="100"/>
                <w:sz w:val="24"/>
                <w:szCs w:val="24"/>
              </w:rPr>
            </w:pPr>
            <w:r>
              <w:rPr>
                <w:rFonts w:hint="eastAsia" w:ascii="宋体" w:hAnsi="宋体" w:eastAsia="宋体" w:cs="宋体"/>
                <w:b w:val="0"/>
                <w:i w:val="0"/>
                <w:caps w:val="0"/>
                <w:color w:val="000000"/>
                <w:spacing w:val="0"/>
                <w:w w:val="100"/>
                <w:sz w:val="24"/>
                <w:szCs w:val="24"/>
              </w:rPr>
              <w:t>供应商承诺提供7×24小时电话售后服务，接采购人通知2小时内派技术人员到达现场进行调整调试、维修、解决相关问题。有承诺且有处罚措施得</w:t>
            </w:r>
            <w:r>
              <w:rPr>
                <w:rFonts w:hint="eastAsia" w:ascii="宋体" w:hAnsi="宋体" w:eastAsia="宋体" w:cs="宋体"/>
                <w:b w:val="0"/>
                <w:i w:val="0"/>
                <w:caps w:val="0"/>
                <w:color w:val="000000"/>
                <w:spacing w:val="0"/>
                <w:w w:val="100"/>
                <w:sz w:val="24"/>
                <w:szCs w:val="24"/>
                <w:lang w:val="en-US" w:eastAsia="zh-CN"/>
              </w:rPr>
              <w:t>3</w:t>
            </w:r>
            <w:r>
              <w:rPr>
                <w:rFonts w:hint="eastAsia" w:ascii="宋体" w:hAnsi="宋体" w:eastAsia="宋体" w:cs="宋体"/>
                <w:b w:val="0"/>
                <w:i w:val="0"/>
                <w:caps w:val="0"/>
                <w:color w:val="000000"/>
                <w:spacing w:val="0"/>
                <w:w w:val="100"/>
                <w:sz w:val="24"/>
                <w:szCs w:val="24"/>
              </w:rPr>
              <w:t>分，有承诺无处罚措施得</w:t>
            </w:r>
            <w:r>
              <w:rPr>
                <w:rFonts w:hint="eastAsia" w:ascii="宋体" w:hAnsi="宋体" w:eastAsia="宋体" w:cs="宋体"/>
                <w:b w:val="0"/>
                <w:i w:val="0"/>
                <w:caps w:val="0"/>
                <w:color w:val="000000"/>
                <w:spacing w:val="0"/>
                <w:w w:val="100"/>
                <w:sz w:val="24"/>
                <w:szCs w:val="24"/>
                <w:lang w:val="en-US" w:eastAsia="zh-CN"/>
              </w:rPr>
              <w:t>1</w:t>
            </w:r>
            <w:r>
              <w:rPr>
                <w:rFonts w:hint="eastAsia" w:ascii="宋体" w:hAnsi="宋体" w:eastAsia="宋体" w:cs="宋体"/>
                <w:b w:val="0"/>
                <w:i w:val="0"/>
                <w:caps w:val="0"/>
                <w:color w:val="000000"/>
                <w:spacing w:val="0"/>
                <w:w w:val="100"/>
                <w:sz w:val="24"/>
                <w:szCs w:val="24"/>
              </w:rPr>
              <w:t>分，无法满足的不得分。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黑体" w:hAnsi="黑体" w:eastAsia="黑体" w:cs="黑体"/>
          <w:sz w:val="32"/>
          <w:szCs w:val="32"/>
          <w:lang w:val="en-US" w:eastAsia="zh-CN"/>
        </w:rPr>
      </w:pPr>
    </w:p>
    <w:sectPr>
      <w:footerReference r:id="rId3" w:type="default"/>
      <w:pgSz w:w="11906" w:h="16838"/>
      <w:pgMar w:top="1701" w:right="1417"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A0204"/>
    <w:charset w:val="00"/>
    <w:family w:val="roman"/>
    <w:pitch w:val="default"/>
    <w:sig w:usb0="E00002FF" w:usb1="4000045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NThjMzhkZjY3OTMyYjIzNjdiNTc0ZWZhMDBmMzkifQ=="/>
  </w:docVars>
  <w:rsids>
    <w:rsidRoot w:val="0B1E4C18"/>
    <w:rsid w:val="00400799"/>
    <w:rsid w:val="02515359"/>
    <w:rsid w:val="043C28CD"/>
    <w:rsid w:val="0B1E4C18"/>
    <w:rsid w:val="0D5F46AF"/>
    <w:rsid w:val="160F0302"/>
    <w:rsid w:val="1CDC13E4"/>
    <w:rsid w:val="21950ED6"/>
    <w:rsid w:val="22315EBA"/>
    <w:rsid w:val="24226EBB"/>
    <w:rsid w:val="2476535F"/>
    <w:rsid w:val="26AC7CE2"/>
    <w:rsid w:val="2ADD4F8B"/>
    <w:rsid w:val="2AEB0FE7"/>
    <w:rsid w:val="2E433179"/>
    <w:rsid w:val="2ED645E4"/>
    <w:rsid w:val="31910052"/>
    <w:rsid w:val="33B72665"/>
    <w:rsid w:val="34056568"/>
    <w:rsid w:val="37D72E63"/>
    <w:rsid w:val="3A52699D"/>
    <w:rsid w:val="3BEE3657"/>
    <w:rsid w:val="3CDB2FD3"/>
    <w:rsid w:val="3E2F6D0E"/>
    <w:rsid w:val="3E35778B"/>
    <w:rsid w:val="3FA3070D"/>
    <w:rsid w:val="425B65EB"/>
    <w:rsid w:val="46A76A6A"/>
    <w:rsid w:val="46D454F3"/>
    <w:rsid w:val="4A8050F4"/>
    <w:rsid w:val="4EDE7C89"/>
    <w:rsid w:val="4F1D17C2"/>
    <w:rsid w:val="51B10BF1"/>
    <w:rsid w:val="5283769A"/>
    <w:rsid w:val="53BA1994"/>
    <w:rsid w:val="573C014D"/>
    <w:rsid w:val="57A55D6E"/>
    <w:rsid w:val="57D61E46"/>
    <w:rsid w:val="6093064D"/>
    <w:rsid w:val="639719C5"/>
    <w:rsid w:val="65932B0B"/>
    <w:rsid w:val="695C2AA3"/>
    <w:rsid w:val="6AAA243B"/>
    <w:rsid w:val="6CD3027E"/>
    <w:rsid w:val="6E98261E"/>
    <w:rsid w:val="6F1D18CE"/>
    <w:rsid w:val="70517D11"/>
    <w:rsid w:val="76326989"/>
    <w:rsid w:val="777F74DF"/>
    <w:rsid w:val="78A90A7B"/>
    <w:rsid w:val="78FB5758"/>
    <w:rsid w:val="79BC0A44"/>
    <w:rsid w:val="7B5D48DF"/>
    <w:rsid w:val="7CF346A1"/>
    <w:rsid w:val="7DA75CE2"/>
    <w:rsid w:val="7FCF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6" w:lineRule="auto"/>
      <w:outlineLvl w:val="1"/>
    </w:pPr>
    <w:rPr>
      <w:rFonts w:ascii="Cambria" w:hAnsi="Cambria"/>
      <w:b/>
      <w:sz w:val="32"/>
      <w:szCs w:val="32"/>
    </w:rPr>
  </w:style>
  <w:style w:type="paragraph" w:styleId="3">
    <w:name w:val="heading 3"/>
    <w:basedOn w:val="1"/>
    <w:next w:val="1"/>
    <w:qFormat/>
    <w:uiPriority w:val="0"/>
    <w:pPr>
      <w:keepNext/>
      <w:keepLines/>
      <w:spacing w:before="120" w:after="120" w:line="300" w:lineRule="auto"/>
      <w:outlineLvl w:val="2"/>
    </w:pPr>
    <w:rPr>
      <w:rFonts w:ascii="宋体"/>
      <w:b/>
      <w:bCs/>
      <w:sz w:val="24"/>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next w:val="6"/>
    <w:qFormat/>
    <w:uiPriority w:val="99"/>
    <w:pPr>
      <w:spacing w:line="240" w:lineRule="auto"/>
      <w:ind w:firstLine="0" w:firstLineChars="0"/>
    </w:pPr>
    <w:rPr>
      <w:rFonts w:ascii="宋体" w:hAnsi="宋体"/>
      <w:sz w:val="21"/>
    </w:rPr>
  </w:style>
  <w:style w:type="paragraph" w:customStyle="1" w:styleId="6">
    <w:name w:val="封面字体3"/>
    <w:next w:val="7"/>
    <w:autoRedefine/>
    <w:qFormat/>
    <w:uiPriority w:val="0"/>
    <w:pPr>
      <w:widowControl w:val="0"/>
      <w:spacing w:line="240" w:lineRule="atLeast"/>
      <w:jc w:val="both"/>
    </w:pPr>
    <w:rPr>
      <w:rFonts w:ascii="华文细黑" w:hAnsi="Calibri" w:eastAsia="黑体" w:cs="Times New Roman"/>
      <w:color w:val="800000"/>
      <w:sz w:val="44"/>
      <w:lang w:val="en-US" w:eastAsia="zh-CN" w:bidi="ar-SA"/>
    </w:rPr>
  </w:style>
  <w:style w:type="paragraph" w:styleId="7">
    <w:name w:val="Body Text Indent"/>
    <w:basedOn w:val="1"/>
    <w:next w:val="1"/>
    <w:qFormat/>
    <w:uiPriority w:val="99"/>
    <w:pPr>
      <w:spacing w:after="120"/>
      <w:ind w:left="420" w:leftChars="200"/>
    </w:pPr>
  </w:style>
  <w:style w:type="paragraph" w:styleId="8">
    <w:name w:val="Plain Text"/>
    <w:basedOn w:val="1"/>
    <w:next w:val="1"/>
    <w:qFormat/>
    <w:uiPriority w:val="0"/>
    <w:rPr>
      <w:rFonts w:ascii="宋体" w:hAnsi="Courier New"/>
      <w:szCs w:val="20"/>
    </w:rPr>
  </w:style>
  <w:style w:type="paragraph" w:styleId="9">
    <w:name w:val="endnote text"/>
    <w:basedOn w:val="1"/>
    <w:qFormat/>
    <w:uiPriority w:val="0"/>
    <w:pPr>
      <w:snapToGrid w:val="0"/>
      <w:jc w:val="left"/>
    </w:pPr>
    <w:rPr>
      <w:rFonts w:ascii="宋体" w:hAnsi="宋体"/>
      <w:kern w:val="0"/>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qFormat/>
    <w:uiPriority w:val="99"/>
    <w:pPr>
      <w:ind w:firstLine="480" w:firstLineChars="200"/>
    </w:pPr>
    <w:rPr>
      <w:sz w:val="24"/>
    </w:rPr>
  </w:style>
  <w:style w:type="paragraph" w:styleId="14">
    <w:name w:val="Body Text First Indent 2"/>
    <w:basedOn w:val="7"/>
    <w:next w:val="1"/>
    <w:qFormat/>
    <w:uiPriority w:val="0"/>
    <w:pPr>
      <w:ind w:firstLine="420" w:firstLineChars="200"/>
    </w:pPr>
  </w:style>
  <w:style w:type="character" w:styleId="17">
    <w:name w:val="Strong"/>
    <w:basedOn w:val="16"/>
    <w:qFormat/>
    <w:uiPriority w:val="0"/>
    <w:rPr>
      <w:b/>
    </w:rPr>
  </w:style>
  <w:style w:type="character" w:styleId="18">
    <w:name w:val="annotation reference"/>
    <w:qFormat/>
    <w:uiPriority w:val="0"/>
    <w:rPr>
      <w:rFonts w:ascii="Calibri" w:hAnsi="Calibri" w:eastAsia="宋体" w:cs="Calibri"/>
      <w:sz w:val="21"/>
      <w:szCs w:val="21"/>
    </w:rPr>
  </w:style>
  <w:style w:type="paragraph" w:customStyle="1" w:styleId="19">
    <w:name w:val="正文文本首行缩进 21"/>
    <w:basedOn w:val="7"/>
    <w:qFormat/>
    <w:uiPriority w:val="99"/>
    <w:pPr>
      <w:spacing w:line="200" w:lineRule="atLeast"/>
      <w:ind w:firstLine="420"/>
    </w:pPr>
    <w:rPr>
      <w:rFonts w:hAnsi="Courier New"/>
      <w:spacing w:val="-4"/>
      <w:sz w:val="18"/>
    </w:rPr>
  </w:style>
  <w:style w:type="paragraph" w:customStyle="1" w:styleId="2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21">
    <w:name w:val="font31"/>
    <w:basedOn w:val="16"/>
    <w:qFormat/>
    <w:uiPriority w:val="0"/>
    <w:rPr>
      <w:rFonts w:hint="eastAsia" w:ascii="宋体" w:hAnsi="宋体" w:eastAsia="宋体" w:cs="宋体"/>
      <w:color w:val="000000"/>
      <w:sz w:val="24"/>
      <w:szCs w:val="24"/>
      <w:u w:val="none"/>
    </w:rPr>
  </w:style>
  <w:style w:type="paragraph" w:customStyle="1" w:styleId="22">
    <w:name w:val="正文格式"/>
    <w:basedOn w:val="1"/>
    <w:qFormat/>
    <w:uiPriority w:val="0"/>
    <w:pPr>
      <w:widowControl/>
      <w:adjustRightInd w:val="0"/>
      <w:snapToGrid w:val="0"/>
      <w:spacing w:line="400" w:lineRule="atLeast"/>
      <w:ind w:firstLine="482"/>
      <w:textAlignment w:val="baseline"/>
    </w:pPr>
    <w:rPr>
      <w:rFonts w:ascii="Times New Roman" w:hAnsi="Times New Roman"/>
      <w:kern w:val="0"/>
      <w:sz w:val="24"/>
    </w:rPr>
  </w:style>
  <w:style w:type="paragraph" w:customStyle="1" w:styleId="23">
    <w:name w:val="列出段落2"/>
    <w:basedOn w:val="1"/>
    <w:qFormat/>
    <w:uiPriority w:val="0"/>
    <w:pPr>
      <w:ind w:firstLine="420" w:firstLineChars="200"/>
    </w:pPr>
    <w:rPr>
      <w:szCs w:val="22"/>
    </w:rPr>
  </w:style>
  <w:style w:type="paragraph" w:customStyle="1" w:styleId="24">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8146</Words>
  <Characters>9924</Characters>
  <Lines>0</Lines>
  <Paragraphs>0</Paragraphs>
  <TotalTime>50</TotalTime>
  <ScaleCrop>false</ScaleCrop>
  <LinksUpToDate>false</LinksUpToDate>
  <CharactersWithSpaces>10009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2023-07-07T05:06:00Z</dcterms:created>
  <dc:creator>wind</dc:creator>
  <cp:lastModifiedBy>风雪寒山</cp:lastModifiedBy>
  <cp:lastPrinted>2024-06-27T09:55:00Z</cp:lastPrinted>
  <dcterms:modified xsi:type="dcterms:W3CDTF">2024-07-05T09:08:52Z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FF81F84D62094AF481AEECC882981631_13</vt:lpwstr>
  </property>
</Properties>
</file>