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4DA8">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采购要求</w:t>
      </w:r>
    </w:p>
    <w:p w14:paraId="102EE4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p>
    <w:p w14:paraId="193D54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一、项目采购的技术规范和要求</w:t>
      </w:r>
    </w:p>
    <w:p w14:paraId="668E29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（一）手动密集架技术参数说明</w:t>
      </w:r>
    </w:p>
    <w:p w14:paraId="088664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1、架体要求</w:t>
      </w:r>
    </w:p>
    <w:p w14:paraId="328177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（1）密集架主要由导轨、底盘、传动机构和架体（包括立柱、挂板、搁板、顶板、门板及侧护板）等零（部）件组合而成。</w:t>
      </w:r>
    </w:p>
    <w:p w14:paraId="694ACA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架顶应设防尘装置，列与列之间应装有20mm厚特种抗老化橡塑磁性密封条，门面列和中间移动列分别装有锁具和制动装置，每组密集架闭合后可用总锁锁住，形成一个封闭的整体，各列移开后可单独制动，确保人员安全，底部应设防鼠、防倾倒装置。</w:t>
      </w:r>
    </w:p>
    <w:p w14:paraId="59263F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（3）搁板、挂板可沿立柱自由调整高度。</w:t>
      </w:r>
    </w:p>
    <w:p w14:paraId="100152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2、传动机构要求</w:t>
      </w:r>
    </w:p>
    <w:p w14:paraId="06EFF2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传动机构、机械式自脱超越离合摇手体、多级速比1：6精制链轮等零（部）件组成。在负载情况下保持轻便、灵活、平稳，不得有失灵现象。提供权威检测机构出具的带CMA、ilac-MRA、CNAS标识及可查验二维码的传动板检测报告，检测内容包括但不限于:抑菌率达99%、金黄色葡萄球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14:paraId="3F70FE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摇把：摇把整体为7字型，手柄可折叠，摇动轻便，手柄摇动时能自动挂挡，密集架处于动或不动状态时，摇柄自行停于垂直位置。提供权威检测机构出具的带CMA、ilac-MRA、CNAS标识及可查验二维码的摇把检测报告；检测内容包括:抑菌率测试结果达99%、耐霉菌性等级达到0级、耐老化性500h测试（冲击强度的保持率≥60%、外观颜色变化评级≥3级）；检测依据必须符合GB/T31402-2015、GB/T1741-2020、GB/T32487-2016及《2023年家具及人造板产品抽样检验实施方案》标准要求；同时提供在全国认证认可信息公共服务平台（http：//cx.cnca.cn）上查询的网页截图。</w:t>
      </w:r>
    </w:p>
    <w:p w14:paraId="793D18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（3）传动部件要求：</w:t>
      </w:r>
    </w:p>
    <w:p w14:paraId="2DB498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①传动轴：材料使用Φ20，45#冷拉实心圆钢，加工精度为3.2，经热处理调质，HB220-290。</w:t>
      </w:r>
    </w:p>
    <w:p w14:paraId="7D5D09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②▲三合一轴承轮：集注铁滚轮，轴承，链轮于一体。不得用螺丝，电焊，铆钉等工艺连接。铁滚轮：采用高强度注铁滚轮，数控精加工成型，滚轮直径≧120mm。双边槽高度≧5mm,前后设计6根加强筋轮毂.与轨道接触面宽≧22mm。链轮：采用链轮为22齿45#钢，经锻压精密加工成型。轴承：采用E级双边调心轴承。三合一轴承轮具有高强度，不变形，抗氧化，承载能力大，摩擦阻力小，安装简单，易维护，结构紧凑等特点。（经载重实测手摇力度减轻30%）提供权威检测机构出具的带CMA、ilac-MRA、CNAS标识及可查验二维码的三合一轴承轮检测报告；检测内容包括:抑菌率测试结果达99%、金黄色葡萄球菌检测具有较好的抗菌效果、耐霉菌性等级达到0级、金属电镀层理化性能抗盐雾试验18h无锈点、重金属含量可溶性铅≤5mg/kg、可溶性镉≤5mg/kg、可溶性铬≤5mg/kg、可溶性汞≤5mg/kg；检测依据必须符合GB/T3325-2017、QB/T4371-2012、GB/T1741-2020及《2023年家具及人造板产品抽样检验实施方案》标准要求；同时提供在全国认证认可信息公共服务平台（http：//cx.cnca.cn）上查询的网页截图。</w:t>
      </w:r>
    </w:p>
    <w:p w14:paraId="24EBB0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③连接管：采用优质钢管，表面防腐处理。</w:t>
      </w:r>
    </w:p>
    <w:p w14:paraId="795BF2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④链条：采用Φ8.5，节距12.7摩托车滚子链条。</w:t>
      </w:r>
    </w:p>
    <w:p w14:paraId="7B9096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⑤紧固件为45#、Q235－A钢标准化零件。</w:t>
      </w:r>
    </w:p>
    <w:p w14:paraId="411E07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3、▲底盘要求</w:t>
      </w:r>
    </w:p>
    <w:p w14:paraId="6FB1E9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底盘3.0mm厚优质热轧钢板采用分段焊接后整体组装式，连接牢固、运输、安装方便，底梁各段连接采用螺栓紧固，纵梁上按节距冲有矩形槽，底梁节与节之间中隔板三折弯成型两头冲有矩形槽，正面折弯宽98mm±2mm，在插立柱位置与纵梁连接，使底梁架体不扭曲、错位和变形。以供立柱插入后用螺栓紧固。滚轮横梁采用四折成形，确保在外力作用下无任何变形情况发生。底梁下部应装有防倒支架以防架体倾倒。底梁两端封头横梁与纵梁牢固焊接，在直角处上平面均焊上三角形加强板。提供权威检测机构出具的带CMA、ilac-MRA、CNAS标识及可查验二维码的底盘检测报告；检测内容包括但不限于:1、金属外观要求：①焊接处应无脱焊、虚焊、焊穿、错位，表面波纹应均匀；②喷涂层应光滑均匀，色泽一致，应无流挂、疙瘩、皱皮、飞漆等缺陷；2、金属表面耐腐蚀 乙酸盐雾连续喷雾200小时试验：①涂层本身的耐腐蚀等级达到10级；②涂层对基材的保护等级达到10级。检测依据必须符合：GB/T3325-2017 《金属家具通用技术条件》；QB/T 3827-1999 《轻工产品金属镀层和化学处理层的耐腐蚀试验方法 乙酸盐雾试验（ASS）法》；QB/T 3832-1999 《轻工产品金属镀层腐蚀试验结果的评价》标准。同时提供在全国认证认可信息公共服务平台（http：//cx.cnca.cn）上查询的网页截图。</w:t>
      </w:r>
    </w:p>
    <w:p w14:paraId="770503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4、▲轨道要求</w:t>
      </w:r>
    </w:p>
    <w:p w14:paraId="7AEA6E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导轨采用20*20mm实心方钢，实心方钢置于3mm厚钢板上，轨道镀锌，轨道板折弯成形，塞焊而成，分段连接，膨胀螺栓紧固于地面。提供权威检测机构出具的带CMA、ilac-MRA、CNAS标识及可查验二维码的轨道检测报告，检测内容包括但不限于:抑菌率测试结果达99%、金黄色葡萄球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14:paraId="48B787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5、▲立柱要求</w:t>
      </w:r>
    </w:p>
    <w:p w14:paraId="142314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采用1.5mm厚优质冷轧钢板，六压筋一次成型，正面50mm压2根圆筋,双筋冲压仿生花纹图案，侧面39mm各压2根圆筋，立柱两面冲压可上、下调节的挂孔，孔距为53mm。成型立柱采用上、中、下三根连接横梁焊成整体，达到结构坚固合理、美观大方不变形。立柱下端直接插入底盘固定矩形孔内，通过螺栓紧固，立柱上端与顶板通过螺栓紧固，使立柱顶部形成整体，增强架体的整体刚性。提供权威检测机构出具的带CMA、ilac-MRA、CNAS标识及可查验二维码的仿生花纹立柱检测报告，检测内容包括但不限于:抑菌率达99%、金黄色葡萄球菌检测具有较好的抗菌效果、耐霉菌性等级达到0级、力学性能-拉伸试验屈服强度≥235MPa、抗拉强度370~500MPa、断后伸长率≥22%；检测依据必须符合QB/T4371-2012、GB/T1741-2020、GB/T11253-2019及《2023年家具及人造板产品抽样检验实施方案》标准要求；同时提供在全国认证认可信息公共服务平台（http：//cx.cnca.cn）上查询的网页截图。</w:t>
      </w:r>
    </w:p>
    <w:p w14:paraId="116BA3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6、搁板、挂板、挡棒要求</w:t>
      </w:r>
    </w:p>
    <w:p w14:paraId="4E7162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搁板：采用1.0mm厚优质冷轧钢板，九面八折弯一次成形，厚度为≧25mm，正面压制两组圆筋，每组压筋数3条。侧面压制一组圆筋，每组压筋数2条。压筋工艺确保搁板不变形，外形美观，结构新颖，刚性足，承重能力强，每层承重80KG。满负载24小时后挠曲度≤2mm，卸载后自动恢复。提供权威检测机构出具的带CMA、ilac-MRA、CNAS标识及可查验二维码的九面八折弯搁板检测报告，检测内容包括但不限于:抑菌率测试结果达99%、金黄色葡萄球菌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14:paraId="6DC992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挂板：采用1.0mm厚优质冷轧钢板冲压一次成型。挂板采用单边双挂钩，中间采用腰形拉伸翻边模成型，并上下各压制一条126*7mm加强筋。下端有四个搁板定位槽，使搁板嵌置于定位槽上。提供权威检测机构出具的带CMA、ilac-MRA、CNAS标识及可查验二维码的挂板检测报告，检测内容包括但不限于:抑菌率测试结果达99%、金黄色葡萄球菌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14:paraId="474C49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挡棒：采用0.8mm厚优质冷轧钢板，两头冲凹槽且带有防滑扣，模具冲压成型，折弯尺寸16*14mm，C型状，增强其强度且能阻挡档案滑向另一侧，沿立柱垂直方向可以自由调整高度。提供权威检测机构出具的带CMA、ilac-MRA、CNAS标识及可查验二维码的挡棒检测报告，检测内容包括但不限于:抑菌率测试结果达99%、金黄色葡萄球菌检测具有较好的抗菌效果、耐霉菌性等级达到0级、力学性能-拉伸试验屈服强度≥225MPa、抗拉强度370~500MPa、断后伸长率≥26%、重金属含量可溶性铅≤5mg/kg、可溶性镉≤5mg/kg、可溶性铬≤5mg/kg、可溶性汞≤5mg/kg；化学成分检测C≤0.20%、S≤0.045%、Mn≤1.40%、Si≤0.35%、P≤0.045%；检测依据必须符合GB/T3325-2017、QB/T4371-2012、GB/T1741-2020、GB/T700-2006及《2023年家具及人造板产品抽样检验实施方案》标准要求；同时提供在全国认证认可信息公共服务平台（http：//cx.cnca.cn）上查询的网页截图。</w:t>
      </w:r>
    </w:p>
    <w:p w14:paraId="6A1222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7、侧护板、门板、顶板、防尘板、防鼠板要求</w:t>
      </w:r>
    </w:p>
    <w:p w14:paraId="5FA978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侧板：采用1.0mm优质冷轧钢板，前侧面板采用上、中、下三段式组成，整体美观、结构合理、设计新颖。提供权威检测机构出具的带CMA、ilac-MRA、CNAS标识及可查验二维码的侧板检测报告；检测内容包括但不限于:抑菌率测试结果达99%、抗菌效果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14:paraId="52A297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铝合金镶嵌式伸缩密封装条：每列之间有缓冲镶嵌式密封条，基座采用厚度3mm厚铝合金材质，使得密封条更加平直，维护方便,密封与防撞性能更好，采用抗老化橡胶密封条。提供权威检测机构出具的带CMA、ilac-MRA、CNAS标识及可查验二维码的铝合金镶嵌式伸缩密封装条检测报告；检测内容包括但不限于:抑菌率测试结果达99%、金黄色葡萄球菌检测具有较好的抗菌效果、耐霉菌性等级达到0级、重金属含量可溶性铅≤5mg/kg、可溶性镉≤5mg/kg、可溶性铬≤5mg/kg、可溶性汞≤5mg/kg、耐老化试验500h后外观颜色评级不小于3级；检测依据必须符合GB/T3325-2017、QB/T4371-2012、GB/T1741-2020及《2023年家具及人造板产品抽样检验实施方案》标准要求；同时提供在全国认证认可信息公共服务平台（http：//cx.cnca.cn）上查询的网页截图。</w:t>
      </w:r>
    </w:p>
    <w:p w14:paraId="484838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门板：采用1.0mm厚优质冷轧钢板，门板正面四角采用数控转塔冲压仿生花纹图形。右门上豪华三级管理锁。组装后缝隙均匀，锁定紧密，开启灵活。提供权威检测机构出具的带CMA、ilac-MRA、CNAS标识及可查验二维码的印花门板检测报告，检测内容包括但不限于:抑菌率测试结果达99%、金黄色葡萄球菌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14:paraId="3A15DD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顶板：采用0.6mm厚优质冷轧钢板，经双面六折弯，使用螺栓紧固于立柱上端，四角对焊，使其成框架结构。提供权威检测机构出具的带CMA、ilac-MRA、CNAS标识及可查验二维码的顶板检测报告，检测内容包括但不限于:抑菌率测试结果达99%、金黄色葡萄球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14:paraId="50C993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防尘板：采用0.6mm厚优质冷轧钢板，具有耐高温、耐腐蚀、防尘、防静电等特性。提供权威检测机构出具的带CMA、ilac-MRA、CNAS标识及可查验二维码的防尘板检测报告，检测内容包括但不限于:抑菌率测试结果达99%、大肠杆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14:paraId="396069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（6）防鼠板：采用0.6mm厚优质冷轧钢板，板体光滑表面经过防腐处理，坚硬、美观。</w:t>
      </w:r>
    </w:p>
    <w:p w14:paraId="1B3B87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8、外观质量要求</w:t>
      </w:r>
    </w:p>
    <w:p w14:paraId="536B33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（1）密集架架体外观应精美、线条流畅、操作应轻便灵活、运行平稳，并应是组合装配，便于搬迁和拆卸。各零件、组合件表面应光滑平整，不得有尖角、凸起。</w:t>
      </w:r>
    </w:p>
    <w:p w14:paraId="4547E3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（2）颜色按用户要求，表面经静电喷粉，高温塑化处理，色泽应一致，喷涂无死角，漆面应均匀光滑、无划痕。</w:t>
      </w:r>
    </w:p>
    <w:p w14:paraId="7EF40D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 库房相关设备采购、安装及档案搬运上架相关要求</w:t>
      </w:r>
    </w:p>
    <w:p w14:paraId="218E78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1、除湿机：</w:t>
      </w:r>
      <w:r>
        <w:rPr>
          <w:rFonts w:hint="eastAsia" w:ascii="仿宋_GB2312" w:hAnsi="仿宋" w:eastAsia="仿宋_GB2312" w:cs="仿宋"/>
          <w:sz w:val="32"/>
          <w:szCs w:val="32"/>
          <w:lang w:val="en-US" w:eastAsia="zh-CN"/>
        </w:rPr>
        <w:t>适用面积35平方米左右,具有除湿性能稳定,除湿效果显著以及低能耗、低噪音等特点,能快速降低环境空气湿度,彻底解决潮湿空气所造成的负面影响和危害。</w:t>
      </w:r>
    </w:p>
    <w:p w14:paraId="101DED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2、防磁柜：</w:t>
      </w:r>
      <w:r>
        <w:rPr>
          <w:rFonts w:hint="eastAsia" w:ascii="仿宋_GB2312" w:hAnsi="仿宋" w:eastAsia="仿宋_GB2312" w:cs="仿宋"/>
          <w:sz w:val="32"/>
          <w:szCs w:val="32"/>
          <w:lang w:val="en-US" w:eastAsia="zh-CN"/>
        </w:rPr>
        <w:t>需采用优质冷轧钢，6抽，阻隔热源，防止强烈震源等原因引起的数据丢失，360°全面防磁。</w:t>
      </w:r>
    </w:p>
    <w:p w14:paraId="3F4E07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3、温湿度记录仪：</w:t>
      </w:r>
      <w:r>
        <w:rPr>
          <w:rFonts w:hint="eastAsia" w:ascii="仿宋_GB2312" w:hAnsi="仿宋" w:eastAsia="仿宋_GB2312" w:cs="仿宋"/>
          <w:sz w:val="32"/>
          <w:szCs w:val="32"/>
          <w:lang w:val="en-US" w:eastAsia="zh-CN"/>
        </w:rPr>
        <w:t>高精度、WIFI传输、电池＋USB供电、离线存储，数据可导出及超限报警。</w:t>
      </w:r>
    </w:p>
    <w:p w14:paraId="6368E0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4、七氟丙烷自动灭火系统设备：</w:t>
      </w:r>
      <w:r>
        <w:rPr>
          <w:rFonts w:hint="eastAsia" w:ascii="仿宋_GB2312" w:hAnsi="仿宋" w:eastAsia="仿宋_GB2312" w:cs="仿宋"/>
          <w:sz w:val="32"/>
          <w:szCs w:val="32"/>
          <w:lang w:val="en-US" w:eastAsia="zh-CN"/>
        </w:rPr>
        <w:t>联动一整套报警设备，有火情第一时间即可得知，并提示火灾区域人员快速撤离火灾区域；10秒内迅速灭火；自动灭火无需人员操作，对防护区无二次污染，对库房内物品无二次损伤；采用国标七氟丙烷药剂。</w:t>
      </w:r>
    </w:p>
    <w:p w14:paraId="3F5CA6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5、漏水报警系统：</w:t>
      </w:r>
      <w:r>
        <w:rPr>
          <w:rFonts w:hint="eastAsia" w:ascii="仿宋_GB2312" w:hAnsi="仿宋" w:eastAsia="仿宋_GB2312" w:cs="仿宋"/>
          <w:sz w:val="32"/>
          <w:szCs w:val="32"/>
          <w:lang w:val="en-US" w:eastAsia="zh-CN"/>
        </w:rPr>
        <w:t>感应到房间地面有水，可通过远程报警。</w:t>
      </w:r>
    </w:p>
    <w:p w14:paraId="2BD986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6、空调：</w:t>
      </w:r>
      <w:r>
        <w:rPr>
          <w:rFonts w:hint="eastAsia" w:ascii="仿宋_GB2312" w:hAnsi="仿宋" w:eastAsia="仿宋_GB2312" w:cs="仿宋"/>
          <w:sz w:val="32"/>
          <w:szCs w:val="32"/>
          <w:lang w:val="en-US" w:eastAsia="zh-CN"/>
        </w:rPr>
        <w:t>配备的空调的规格需满足对应房间的面积大小。</w:t>
      </w:r>
    </w:p>
    <w:p w14:paraId="01F89A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7、阻燃窗帘：</w:t>
      </w:r>
      <w:r>
        <w:rPr>
          <w:rFonts w:hint="eastAsia" w:ascii="仿宋_GB2312" w:hAnsi="仿宋" w:eastAsia="仿宋_GB2312" w:cs="仿宋"/>
          <w:sz w:val="32"/>
          <w:szCs w:val="32"/>
          <w:lang w:val="en-US" w:eastAsia="zh-CN"/>
        </w:rPr>
        <w:t>具备阻燃防紫外功能的窗帘</w:t>
      </w:r>
    </w:p>
    <w:p w14:paraId="71CB85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8、档案搬运：</w:t>
      </w:r>
      <w:r>
        <w:rPr>
          <w:rFonts w:hint="eastAsia" w:ascii="仿宋_GB2312" w:hAnsi="仿宋" w:eastAsia="仿宋_GB2312" w:cs="仿宋"/>
          <w:sz w:val="32"/>
          <w:szCs w:val="32"/>
          <w:lang w:val="en-US" w:eastAsia="zh-CN"/>
        </w:rPr>
        <w:t>约30盒档案清点、打包、搬运、装卸、运输、上架。保证运输过程中，实体档案安全无遗失，同时，上架顺序准确无误。最少需安排一名档案工作人员参与，运输时间和运输路线应安全保密，确保档案搬运过程中全流程的安全。</w:t>
      </w:r>
    </w:p>
    <w:p w14:paraId="1B0761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（三）保密、责任事故及赔偿要求</w:t>
      </w:r>
    </w:p>
    <w:p w14:paraId="1EAD5A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1.中标投标人须明确保密范围、保密要求及泄密责任。</w:t>
      </w:r>
    </w:p>
    <w:p w14:paraId="6D5BD3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2.中标投标人须明确责任事故处理方式及赔偿责任。</w:t>
      </w:r>
    </w:p>
    <w:p w14:paraId="2B6AE6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3.因中标投标人过失造成档案丢失、缺失、损毁等应承担相应责任，并协议约定处理与赔偿，法律法规对赔偿计算方法和赔偿额度有规定的从其规定。</w:t>
      </w:r>
    </w:p>
    <w:p w14:paraId="5D6192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4.因自然灾害、战争等不可抗力原因造成档案丢失、缺失、损毁等，中标投标人需配合积极处理，减少损失。</w:t>
      </w:r>
    </w:p>
    <w:p w14:paraId="476134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（四）需执行的国家相关标准、行业标准、地方标准或者其他标准、规范</w:t>
      </w:r>
    </w:p>
    <w:p w14:paraId="12EDC6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《中华人民共和国保守国家秘密法》；</w:t>
      </w:r>
    </w:p>
    <w:p w14:paraId="2D0162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《中华人民共和国保守国家秘密法实施办法》；</w:t>
      </w:r>
    </w:p>
    <w:p w14:paraId="200661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《中华人民共和国档案法》；</w:t>
      </w:r>
    </w:p>
    <w:p w14:paraId="2A0632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《机关档案管理规定》国家档案局第13号令；</w:t>
      </w:r>
    </w:p>
    <w:p w14:paraId="598F10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《档案馆建筑设计规范》（JGJ25-2010）；</w:t>
      </w:r>
    </w:p>
    <w:p w14:paraId="2302B4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《手动密集书架》（GB/T 13667.3-2013）；</w:t>
      </w:r>
    </w:p>
    <w:p w14:paraId="53053E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《气体灭火系统设计规范》（GB50370-2005）；</w:t>
      </w:r>
    </w:p>
    <w:p w14:paraId="33D118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《火灾自动报警系统设计规范》（GB50116-2013）；</w:t>
      </w:r>
    </w:p>
    <w:p w14:paraId="7F7350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《火灾自动报警系统施工及验收标准》（GB50166-2019）；</w:t>
      </w:r>
    </w:p>
    <w:p w14:paraId="5D7AA2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《气体灭火系统施工及验收规范》（GB50263-2007）；</w:t>
      </w:r>
    </w:p>
    <w:p w14:paraId="64B865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《档案装具》（DA/T 6-1992）；</w:t>
      </w:r>
    </w:p>
    <w:p w14:paraId="6610F6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二、服务要求</w:t>
      </w:r>
    </w:p>
    <w:p w14:paraId="4A13D2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（一）服务期：原则为1个月。</w:t>
      </w:r>
    </w:p>
    <w:p w14:paraId="71D916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（二）最终结算价格按照验收通过后的数量进行结算。</w:t>
      </w:r>
    </w:p>
    <w:p w14:paraId="16F930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（三）项目实施地点：武汉市。</w:t>
      </w:r>
    </w:p>
    <w:p w14:paraId="6A2CA2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（四）售后服务响应时间：接到电话后1小时内响应，2小时内上门服务。</w:t>
      </w:r>
    </w:p>
    <w:p w14:paraId="3B6B78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三、评分细则</w:t>
      </w:r>
    </w:p>
    <w:tbl>
      <w:tblPr>
        <w:tblStyle w:val="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701"/>
        <w:gridCol w:w="851"/>
        <w:gridCol w:w="6520"/>
      </w:tblGrid>
      <w:tr w14:paraId="1CE6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4" w:type="dxa"/>
            <w:noWrap w:val="0"/>
            <w:vAlign w:val="center"/>
          </w:tcPr>
          <w:p w14:paraId="3FBD1055">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评审项目</w:t>
            </w:r>
          </w:p>
        </w:tc>
        <w:tc>
          <w:tcPr>
            <w:tcW w:w="1701" w:type="dxa"/>
            <w:noWrap w:val="0"/>
            <w:vAlign w:val="center"/>
          </w:tcPr>
          <w:p w14:paraId="00B0540E">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评审分项</w:t>
            </w:r>
          </w:p>
        </w:tc>
        <w:tc>
          <w:tcPr>
            <w:tcW w:w="851" w:type="dxa"/>
            <w:noWrap w:val="0"/>
            <w:vAlign w:val="center"/>
          </w:tcPr>
          <w:p w14:paraId="2B249924">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分值</w:t>
            </w:r>
          </w:p>
        </w:tc>
        <w:tc>
          <w:tcPr>
            <w:tcW w:w="6520" w:type="dxa"/>
            <w:noWrap w:val="0"/>
            <w:vAlign w:val="center"/>
          </w:tcPr>
          <w:p w14:paraId="48DFC07E">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评审标准及分值</w:t>
            </w:r>
          </w:p>
        </w:tc>
      </w:tr>
      <w:tr w14:paraId="604E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74" w:type="dxa"/>
            <w:noWrap w:val="0"/>
            <w:vAlign w:val="center"/>
          </w:tcPr>
          <w:p w14:paraId="2790595C">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价格</w:t>
            </w:r>
          </w:p>
          <w:p w14:paraId="0410F8F7">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w:t>
            </w:r>
          </w:p>
          <w:p w14:paraId="4F4AB700">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lang w:val="en-US" w:eastAsia="zh-CN"/>
              </w:rPr>
              <w:t>30</w:t>
            </w:r>
            <w:r>
              <w:rPr>
                <w:rFonts w:hint="eastAsia" w:ascii="宋体" w:hAnsi="宋体" w:eastAsia="宋体" w:cs="宋体"/>
                <w:b w:val="0"/>
                <w:i w:val="0"/>
                <w:caps w:val="0"/>
                <w:color w:val="000000"/>
                <w:spacing w:val="0"/>
                <w:w w:val="100"/>
                <w:kern w:val="1"/>
                <w:sz w:val="24"/>
                <w:szCs w:val="24"/>
              </w:rPr>
              <w:t>分</w:t>
            </w:r>
          </w:p>
        </w:tc>
        <w:tc>
          <w:tcPr>
            <w:tcW w:w="1701" w:type="dxa"/>
            <w:noWrap w:val="0"/>
            <w:vAlign w:val="center"/>
          </w:tcPr>
          <w:p w14:paraId="699FB5E0">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投标报价</w:t>
            </w:r>
          </w:p>
        </w:tc>
        <w:tc>
          <w:tcPr>
            <w:tcW w:w="851" w:type="dxa"/>
            <w:noWrap w:val="0"/>
            <w:vAlign w:val="center"/>
          </w:tcPr>
          <w:p w14:paraId="08875A6F">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lang w:val="en-US" w:eastAsia="zh-CN"/>
              </w:rPr>
            </w:pPr>
            <w:r>
              <w:rPr>
                <w:rFonts w:hint="eastAsia" w:ascii="宋体" w:hAnsi="宋体" w:eastAsia="宋体" w:cs="宋体"/>
                <w:b w:val="0"/>
                <w:i w:val="0"/>
                <w:caps w:val="0"/>
                <w:color w:val="000000"/>
                <w:spacing w:val="0"/>
                <w:w w:val="100"/>
                <w:kern w:val="1"/>
                <w:sz w:val="24"/>
                <w:szCs w:val="24"/>
                <w:lang w:val="en-US" w:eastAsia="zh-CN"/>
              </w:rPr>
              <w:t>30</w:t>
            </w:r>
          </w:p>
        </w:tc>
        <w:tc>
          <w:tcPr>
            <w:tcW w:w="6520" w:type="dxa"/>
            <w:noWrap w:val="0"/>
            <w:vAlign w:val="center"/>
          </w:tcPr>
          <w:p w14:paraId="34163515">
            <w:pPr>
              <w:snapToGrid/>
              <w:spacing w:before="0" w:beforeAutospacing="0" w:after="0" w:afterAutospacing="0" w:line="280" w:lineRule="exact"/>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满足</w:t>
            </w:r>
            <w:r>
              <w:rPr>
                <w:rFonts w:hint="eastAsia" w:ascii="宋体" w:hAnsi="宋体" w:eastAsia="宋体" w:cs="宋体"/>
                <w:b w:val="0"/>
                <w:i w:val="0"/>
                <w:caps w:val="0"/>
                <w:color w:val="000000"/>
                <w:spacing w:val="0"/>
                <w:w w:val="100"/>
                <w:sz w:val="24"/>
                <w:szCs w:val="24"/>
                <w:lang w:eastAsia="zh-CN"/>
              </w:rPr>
              <w:t>磋商文件</w:t>
            </w:r>
            <w:r>
              <w:rPr>
                <w:rFonts w:hint="eastAsia" w:ascii="宋体" w:hAnsi="宋体" w:eastAsia="宋体" w:cs="宋体"/>
                <w:b w:val="0"/>
                <w:i w:val="0"/>
                <w:caps w:val="0"/>
                <w:color w:val="000000"/>
                <w:spacing w:val="0"/>
                <w:w w:val="100"/>
                <w:sz w:val="24"/>
                <w:szCs w:val="24"/>
              </w:rPr>
              <w:t>要求且最终优惠投标价格最低的为评标基准价，其价格分为满分。其他投标人的价格分统一按照下列公式计算：</w:t>
            </w:r>
          </w:p>
          <w:p w14:paraId="4614C31E">
            <w:pPr>
              <w:snapToGrid/>
              <w:spacing w:before="0" w:beforeAutospacing="0" w:after="0" w:afterAutospacing="0" w:line="280" w:lineRule="exact"/>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投标报价得分=（评标基准价／投标报价)×价格权值×100</w:t>
            </w:r>
          </w:p>
          <w:p w14:paraId="760A2F61">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价格权值=</w:t>
            </w:r>
            <w:r>
              <w:rPr>
                <w:rFonts w:hint="eastAsia" w:ascii="宋体" w:hAnsi="宋体" w:eastAsia="宋体" w:cs="宋体"/>
                <w:b w:val="0"/>
                <w:i w:val="0"/>
                <w:caps w:val="0"/>
                <w:color w:val="000000"/>
                <w:spacing w:val="0"/>
                <w:w w:val="100"/>
                <w:sz w:val="24"/>
                <w:szCs w:val="24"/>
                <w:lang w:val="en-US" w:eastAsia="zh-CN"/>
              </w:rPr>
              <w:t>30</w:t>
            </w:r>
            <w:r>
              <w:rPr>
                <w:rFonts w:hint="eastAsia" w:ascii="宋体" w:hAnsi="宋体" w:eastAsia="宋体" w:cs="宋体"/>
                <w:b w:val="0"/>
                <w:i w:val="0"/>
                <w:caps w:val="0"/>
                <w:color w:val="000000"/>
                <w:spacing w:val="0"/>
                <w:w w:val="100"/>
                <w:sz w:val="24"/>
                <w:szCs w:val="24"/>
              </w:rPr>
              <w:t>%</w:t>
            </w:r>
          </w:p>
          <w:p w14:paraId="4B262DD1">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注：磋商小组认为供应商的报价明显低于其他通过符合性审查供应商的报价，不能诚信履约的，应当要求其在磋商现场合理的时间内提供书面说明，必要时提交相关证明材料；供应商不能证明其报价合理性的，磋商小组应当将其作为无效报价处理。</w:t>
            </w:r>
          </w:p>
        </w:tc>
      </w:tr>
      <w:tr w14:paraId="5265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4" w:type="dxa"/>
            <w:vMerge w:val="restart"/>
            <w:noWrap w:val="0"/>
            <w:vAlign w:val="center"/>
          </w:tcPr>
          <w:p w14:paraId="786EDBD6">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商务</w:t>
            </w:r>
          </w:p>
          <w:p w14:paraId="1AF91B5C">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部分</w:t>
            </w:r>
          </w:p>
          <w:p w14:paraId="46B6D23F">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5分</w:t>
            </w:r>
          </w:p>
        </w:tc>
        <w:tc>
          <w:tcPr>
            <w:tcW w:w="1701" w:type="dxa"/>
            <w:noWrap w:val="0"/>
            <w:vAlign w:val="center"/>
          </w:tcPr>
          <w:p w14:paraId="64A572B2">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类似业绩</w:t>
            </w:r>
          </w:p>
        </w:tc>
        <w:tc>
          <w:tcPr>
            <w:tcW w:w="851" w:type="dxa"/>
            <w:noWrap w:val="0"/>
            <w:vAlign w:val="center"/>
          </w:tcPr>
          <w:p w14:paraId="6C20AFC6">
            <w:pPr>
              <w:widowControl/>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11</w:t>
            </w:r>
          </w:p>
        </w:tc>
        <w:tc>
          <w:tcPr>
            <w:tcW w:w="6520" w:type="dxa"/>
            <w:noWrap w:val="0"/>
            <w:vAlign w:val="center"/>
          </w:tcPr>
          <w:p w14:paraId="402AF88E">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2021</w:t>
            </w:r>
            <w:r>
              <w:rPr>
                <w:rFonts w:hint="eastAsia" w:ascii="宋体" w:hAnsi="宋体" w:eastAsia="宋体" w:cs="宋体"/>
                <w:b w:val="0"/>
                <w:i w:val="0"/>
                <w:caps w:val="0"/>
                <w:color w:val="000000"/>
                <w:spacing w:val="0"/>
                <w:w w:val="100"/>
                <w:sz w:val="24"/>
                <w:szCs w:val="24"/>
              </w:rPr>
              <w:t>年以来，承担过类似项目业绩</w:t>
            </w:r>
            <w:r>
              <w:rPr>
                <w:rFonts w:hint="eastAsia" w:ascii="宋体" w:hAnsi="宋体" w:eastAsia="宋体" w:cs="宋体"/>
                <w:b w:val="0"/>
                <w:i w:val="0"/>
                <w:caps w:val="0"/>
                <w:color w:val="000000"/>
                <w:spacing w:val="0"/>
                <w:w w:val="100"/>
                <w:sz w:val="24"/>
                <w:szCs w:val="24"/>
                <w:lang w:eastAsia="zh-CN"/>
              </w:rPr>
              <w:t>（含档案柜或档案密集架）</w:t>
            </w:r>
            <w:r>
              <w:rPr>
                <w:rFonts w:hint="eastAsia" w:ascii="宋体" w:hAnsi="宋体" w:eastAsia="宋体" w:cs="宋体"/>
                <w:b w:val="0"/>
                <w:i w:val="0"/>
                <w:caps w:val="0"/>
                <w:color w:val="000000"/>
                <w:spacing w:val="0"/>
                <w:w w:val="100"/>
                <w:sz w:val="24"/>
                <w:szCs w:val="24"/>
              </w:rPr>
              <w:t>的，每提供一份得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分，最高得</w:t>
            </w:r>
            <w:r>
              <w:rPr>
                <w:rFonts w:hint="eastAsia" w:ascii="宋体" w:hAnsi="宋体" w:eastAsia="宋体" w:cs="宋体"/>
                <w:b w:val="0"/>
                <w:i w:val="0"/>
                <w:caps w:val="0"/>
                <w:color w:val="000000"/>
                <w:spacing w:val="0"/>
                <w:w w:val="100"/>
                <w:sz w:val="24"/>
                <w:szCs w:val="24"/>
                <w:lang w:val="en-US" w:eastAsia="zh-CN"/>
              </w:rPr>
              <w:t>6</w:t>
            </w:r>
            <w:r>
              <w:rPr>
                <w:rFonts w:hint="eastAsia" w:ascii="宋体" w:hAnsi="宋体" w:eastAsia="宋体" w:cs="宋体"/>
                <w:b w:val="0"/>
                <w:i w:val="0"/>
                <w:caps w:val="0"/>
                <w:color w:val="000000"/>
                <w:spacing w:val="0"/>
                <w:w w:val="100"/>
                <w:sz w:val="24"/>
                <w:szCs w:val="24"/>
              </w:rPr>
              <w:t>分</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承担过类似项目业绩</w:t>
            </w:r>
            <w:r>
              <w:rPr>
                <w:rFonts w:hint="eastAsia" w:ascii="宋体" w:hAnsi="宋体" w:eastAsia="宋体" w:cs="宋体"/>
                <w:b w:val="0"/>
                <w:i w:val="0"/>
                <w:caps w:val="0"/>
                <w:color w:val="000000"/>
                <w:spacing w:val="0"/>
                <w:w w:val="100"/>
                <w:sz w:val="24"/>
                <w:szCs w:val="24"/>
                <w:lang w:eastAsia="zh-CN"/>
              </w:rPr>
              <w:t>（含档案搬运的）的，</w:t>
            </w:r>
            <w:r>
              <w:rPr>
                <w:rFonts w:hint="eastAsia" w:ascii="宋体" w:hAnsi="宋体" w:eastAsia="宋体" w:cs="宋体"/>
                <w:b w:val="0"/>
                <w:i w:val="0"/>
                <w:caps w:val="0"/>
                <w:color w:val="000000"/>
                <w:spacing w:val="0"/>
                <w:w w:val="100"/>
                <w:sz w:val="24"/>
                <w:szCs w:val="24"/>
              </w:rPr>
              <w:t>每提供一份得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分，最高得</w:t>
            </w:r>
            <w:r>
              <w:rPr>
                <w:rFonts w:hint="eastAsia" w:ascii="宋体" w:hAnsi="宋体" w:eastAsia="宋体" w:cs="宋体"/>
                <w:b w:val="0"/>
                <w:i w:val="0"/>
                <w:caps w:val="0"/>
                <w:color w:val="000000"/>
                <w:spacing w:val="0"/>
                <w:w w:val="100"/>
                <w:sz w:val="24"/>
                <w:szCs w:val="24"/>
                <w:lang w:val="en-US" w:eastAsia="zh-CN"/>
              </w:rPr>
              <w:t>5</w:t>
            </w:r>
            <w:r>
              <w:rPr>
                <w:rFonts w:hint="eastAsia" w:ascii="宋体" w:hAnsi="宋体" w:eastAsia="宋体" w:cs="宋体"/>
                <w:b w:val="0"/>
                <w:i w:val="0"/>
                <w:caps w:val="0"/>
                <w:color w:val="000000"/>
                <w:spacing w:val="0"/>
                <w:w w:val="100"/>
                <w:sz w:val="24"/>
                <w:szCs w:val="24"/>
              </w:rPr>
              <w:t>分。（须提供合同或成交通知书复印件并加盖公章，提供的资料模糊不清无法辨识的</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不予计分。）</w:t>
            </w:r>
          </w:p>
        </w:tc>
      </w:tr>
      <w:tr w14:paraId="1EED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174" w:type="dxa"/>
            <w:vMerge w:val="continue"/>
            <w:noWrap w:val="0"/>
            <w:vAlign w:val="center"/>
          </w:tcPr>
          <w:p w14:paraId="42DBEBDF">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p>
        </w:tc>
        <w:tc>
          <w:tcPr>
            <w:tcW w:w="1701" w:type="dxa"/>
            <w:noWrap w:val="0"/>
            <w:vAlign w:val="center"/>
          </w:tcPr>
          <w:p w14:paraId="2959D93A">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企业实力</w:t>
            </w:r>
          </w:p>
        </w:tc>
        <w:tc>
          <w:tcPr>
            <w:tcW w:w="851" w:type="dxa"/>
            <w:noWrap w:val="0"/>
            <w:vAlign w:val="center"/>
          </w:tcPr>
          <w:p w14:paraId="2B213423">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highlight w:val="none"/>
                <w:lang w:val="en-US" w:eastAsia="zh-CN"/>
              </w:rPr>
              <w:t>4</w:t>
            </w:r>
          </w:p>
        </w:tc>
        <w:tc>
          <w:tcPr>
            <w:tcW w:w="6520" w:type="dxa"/>
            <w:noWrap w:val="0"/>
            <w:vAlign w:val="center"/>
          </w:tcPr>
          <w:p w14:paraId="0401A119">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 xml:space="preserve">档案搬运需进行清点、封箱，档案中包含有保密要求的相关资料，供应商具有保密行政管理部门颁发的“国家秘密载体印制资质”乙级或以上资质 （档案数字化加工类）证书，得4分。（提供相关证书复印件并加盖公章，否则不得分） </w:t>
            </w:r>
          </w:p>
        </w:tc>
      </w:tr>
      <w:tr w14:paraId="28AC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74" w:type="dxa"/>
            <w:vMerge w:val="restart"/>
            <w:noWrap w:val="0"/>
            <w:vAlign w:val="center"/>
          </w:tcPr>
          <w:p w14:paraId="6E2398C1">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技术</w:t>
            </w:r>
          </w:p>
          <w:p w14:paraId="0AA1C378">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w:t>
            </w:r>
          </w:p>
          <w:p w14:paraId="49C5CD4F">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lang w:val="en-US" w:eastAsia="zh-CN"/>
              </w:rPr>
              <w:t>55</w:t>
            </w:r>
            <w:r>
              <w:rPr>
                <w:rFonts w:hint="eastAsia" w:ascii="宋体" w:hAnsi="宋体" w:eastAsia="宋体" w:cs="宋体"/>
                <w:b w:val="0"/>
                <w:i w:val="0"/>
                <w:caps w:val="0"/>
                <w:color w:val="000000"/>
                <w:spacing w:val="0"/>
                <w:w w:val="100"/>
                <w:kern w:val="1"/>
                <w:sz w:val="24"/>
                <w:szCs w:val="24"/>
              </w:rPr>
              <w:t>分</w:t>
            </w:r>
          </w:p>
        </w:tc>
        <w:tc>
          <w:tcPr>
            <w:tcW w:w="1701" w:type="dxa"/>
            <w:noWrap w:val="0"/>
            <w:vAlign w:val="center"/>
          </w:tcPr>
          <w:p w14:paraId="0CFFBA1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技术参数响应</w:t>
            </w:r>
          </w:p>
        </w:tc>
        <w:tc>
          <w:tcPr>
            <w:tcW w:w="851" w:type="dxa"/>
            <w:noWrap w:val="0"/>
            <w:vAlign w:val="center"/>
          </w:tcPr>
          <w:p w14:paraId="4D46965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28分</w:t>
            </w:r>
          </w:p>
        </w:tc>
        <w:tc>
          <w:tcPr>
            <w:tcW w:w="6520" w:type="dxa"/>
            <w:noWrap w:val="0"/>
            <w:vAlign w:val="center"/>
          </w:tcPr>
          <w:p w14:paraId="23A852E6">
            <w:pPr>
              <w:pStyle w:val="3"/>
              <w:spacing w:line="360" w:lineRule="auto"/>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投标人或产品制造商完全满足招标文件要求的得28分。带▲部分技术参数，每项不满足扣2分，非带▲部分技术参数，每项不满足扣1分，扣完为止。以投标文件响应情况为依据。</w:t>
            </w:r>
          </w:p>
          <w:p w14:paraId="37F39839">
            <w:pPr>
              <w:pStyle w:val="3"/>
              <w:spacing w:line="360" w:lineRule="auto"/>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【注：需提供带CMA、ilac-MRA、CNAS标识及可查验二维码的检测报告（二维码扫描结果与检测报告内容一致），同时提供在全国认证认可信息公共服务平台（http：//cx.cnca.cn）上查询的网页截图。】</w:t>
            </w:r>
          </w:p>
        </w:tc>
      </w:tr>
      <w:tr w14:paraId="4229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4" w:type="dxa"/>
            <w:vMerge w:val="continue"/>
            <w:noWrap w:val="0"/>
            <w:vAlign w:val="center"/>
          </w:tcPr>
          <w:p w14:paraId="29B64CAA">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noWrap w:val="0"/>
            <w:vAlign w:val="center"/>
          </w:tcPr>
          <w:p w14:paraId="2689D988">
            <w:pPr>
              <w:spacing w:line="360" w:lineRule="auto"/>
              <w:jc w:val="center"/>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rPr>
              <w:t>样品</w:t>
            </w:r>
          </w:p>
        </w:tc>
        <w:tc>
          <w:tcPr>
            <w:tcW w:w="851" w:type="dxa"/>
            <w:noWrap w:val="0"/>
            <w:vAlign w:val="center"/>
          </w:tcPr>
          <w:p w14:paraId="758A8794">
            <w:pPr>
              <w:spacing w:line="360" w:lineRule="auto"/>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rPr>
              <w:t>4分</w:t>
            </w:r>
          </w:p>
        </w:tc>
        <w:tc>
          <w:tcPr>
            <w:tcW w:w="6520" w:type="dxa"/>
            <w:noWrap w:val="0"/>
            <w:vAlign w:val="top"/>
          </w:tcPr>
          <w:p w14:paraId="761259A2">
            <w:pPr>
              <w:pStyle w:val="2"/>
              <w:spacing w:after="60" w:line="360" w:lineRule="auto"/>
              <w:jc w:val="left"/>
              <w:rPr>
                <w:rFonts w:hint="eastAsia" w:ascii="宋体" w:hAnsi="宋体" w:eastAsia="宋体" w:cs="宋体"/>
                <w:sz w:val="24"/>
                <w:szCs w:val="24"/>
              </w:rPr>
            </w:pPr>
            <w:r>
              <w:rPr>
                <w:rFonts w:hint="eastAsia" w:ascii="宋体" w:hAnsi="宋体" w:eastAsia="宋体" w:cs="宋体"/>
                <w:sz w:val="24"/>
                <w:szCs w:val="24"/>
              </w:rPr>
              <w:t>投标人提供以下样品作为佐证：</w:t>
            </w:r>
          </w:p>
          <w:p w14:paraId="1B70686B">
            <w:pPr>
              <w:spacing w:line="360" w:lineRule="auto"/>
              <w:rPr>
                <w:rFonts w:hint="eastAsia" w:ascii="宋体" w:hAnsi="宋体" w:eastAsia="宋体" w:cs="宋体"/>
                <w:sz w:val="24"/>
              </w:rPr>
            </w:pPr>
            <w:r>
              <w:rPr>
                <w:rFonts w:hint="eastAsia" w:ascii="宋体" w:hAnsi="宋体" w:eastAsia="宋体" w:cs="宋体"/>
                <w:sz w:val="24"/>
              </w:rPr>
              <w:t>1、铝合金镶嵌式伸缩密封装条（500mm）一段</w:t>
            </w:r>
          </w:p>
          <w:p w14:paraId="5C346CAC">
            <w:pPr>
              <w:spacing w:line="360" w:lineRule="auto"/>
              <w:rPr>
                <w:rFonts w:hint="eastAsia" w:ascii="宋体" w:hAnsi="宋体" w:eastAsia="宋体" w:cs="宋体"/>
                <w:sz w:val="24"/>
              </w:rPr>
            </w:pPr>
            <w:r>
              <w:rPr>
                <w:rFonts w:hint="eastAsia" w:ascii="宋体" w:hAnsi="宋体" w:eastAsia="宋体" w:cs="宋体"/>
                <w:sz w:val="24"/>
              </w:rPr>
              <w:t>2、密集架门板(带锁)（长600mm*宽450mm）一块；</w:t>
            </w:r>
          </w:p>
          <w:p w14:paraId="695CF250">
            <w:pPr>
              <w:spacing w:line="360" w:lineRule="auto"/>
              <w:rPr>
                <w:rFonts w:hint="eastAsia" w:ascii="宋体" w:hAnsi="宋体" w:eastAsia="宋体" w:cs="宋体"/>
                <w:sz w:val="24"/>
              </w:rPr>
            </w:pPr>
            <w:r>
              <w:rPr>
                <w:rFonts w:hint="eastAsia" w:ascii="宋体" w:hAnsi="宋体" w:eastAsia="宋体" w:cs="宋体"/>
                <w:sz w:val="24"/>
              </w:rPr>
              <w:t>3、密集架仿生花纹立柱长度（500mm）一段；</w:t>
            </w:r>
          </w:p>
          <w:p w14:paraId="1F4FCACA">
            <w:pPr>
              <w:pStyle w:val="2"/>
              <w:spacing w:after="60" w:line="360" w:lineRule="auto"/>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rPr>
              <w:t>密集架</w:t>
            </w:r>
            <w:r>
              <w:rPr>
                <w:rFonts w:hint="eastAsia" w:ascii="宋体" w:hAnsi="宋体" w:eastAsia="宋体" w:cs="宋体"/>
                <w:sz w:val="24"/>
                <w:szCs w:val="24"/>
              </w:rPr>
              <w:t>三合一轴承轮一个。</w:t>
            </w:r>
          </w:p>
          <w:p w14:paraId="402A95A3">
            <w:pPr>
              <w:pStyle w:val="2"/>
              <w:spacing w:after="60" w:line="360" w:lineRule="auto"/>
              <w:jc w:val="left"/>
              <w:rPr>
                <w:rFonts w:hint="eastAsia" w:ascii="宋体" w:hAnsi="宋体" w:eastAsia="宋体" w:cs="宋体"/>
                <w:sz w:val="24"/>
                <w:szCs w:val="24"/>
              </w:rPr>
            </w:pPr>
            <w:r>
              <w:rPr>
                <w:rFonts w:hint="eastAsia" w:ascii="宋体" w:hAnsi="宋体" w:eastAsia="宋体" w:cs="宋体"/>
                <w:sz w:val="24"/>
                <w:szCs w:val="24"/>
              </w:rPr>
              <w:t>根据投标供应商提供的样品用材、生产工艺（包括焊接、打磨、喷涂、外观、成型质量等）进行评审：</w:t>
            </w:r>
          </w:p>
          <w:p w14:paraId="26445468">
            <w:pPr>
              <w:pStyle w:val="7"/>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1.样品的工艺水平高，表面洁净，平整，无油垢；着色性好，色泽分布均匀，表面具有耐刮、耐污染情况的得2-4分；</w:t>
            </w:r>
          </w:p>
          <w:p w14:paraId="68C4A108">
            <w:pPr>
              <w:pStyle w:val="7"/>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2.样品的工艺水平一般，表面较洁净，平整，无油垢；着色性一般，色泽分布一般，表面耐刮、耐污染情况一般的得1-2分；</w:t>
            </w:r>
          </w:p>
          <w:p w14:paraId="7C155974">
            <w:pPr>
              <w:pStyle w:val="7"/>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3.样品的工艺水平较差，表面不够洁净，平整；着色性较差，色泽分布较差，表面耐刮、耐污染情况较差的得0-1分；</w:t>
            </w:r>
          </w:p>
          <w:p w14:paraId="5ACDE14D">
            <w:pPr>
              <w:spacing w:line="360" w:lineRule="auto"/>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kern w:val="0"/>
                <w:sz w:val="24"/>
              </w:rPr>
              <w:t>【注：提供的样品制造工艺、材质要求、数量</w:t>
            </w:r>
            <w:r>
              <w:rPr>
                <w:rStyle w:val="6"/>
                <w:rFonts w:hint="eastAsia" w:ascii="宋体" w:hAnsi="宋体" w:eastAsia="宋体" w:cs="宋体"/>
                <w:sz w:val="24"/>
              </w:rPr>
              <w:t>及规格</w:t>
            </w:r>
            <w:r>
              <w:rPr>
                <w:rFonts w:hint="eastAsia" w:ascii="宋体" w:hAnsi="宋体" w:eastAsia="宋体" w:cs="宋体"/>
                <w:kern w:val="0"/>
                <w:sz w:val="24"/>
              </w:rPr>
              <w:t>不符合招标文件要求的，该评分项不得分。】</w:t>
            </w:r>
          </w:p>
        </w:tc>
      </w:tr>
      <w:tr w14:paraId="20C5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4" w:type="dxa"/>
            <w:vMerge w:val="continue"/>
            <w:noWrap w:val="0"/>
            <w:vAlign w:val="center"/>
          </w:tcPr>
          <w:p w14:paraId="1AD7B614">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noWrap w:val="0"/>
            <w:vAlign w:val="center"/>
          </w:tcPr>
          <w:p w14:paraId="78421C47">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实施</w:t>
            </w:r>
          </w:p>
          <w:p w14:paraId="6C1728BA">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rPr>
              <w:t>方案</w:t>
            </w:r>
          </w:p>
        </w:tc>
        <w:tc>
          <w:tcPr>
            <w:tcW w:w="851" w:type="dxa"/>
            <w:noWrap w:val="0"/>
            <w:vAlign w:val="center"/>
          </w:tcPr>
          <w:p w14:paraId="73BAFC7B">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12</w:t>
            </w:r>
          </w:p>
        </w:tc>
        <w:tc>
          <w:tcPr>
            <w:tcW w:w="6520" w:type="dxa"/>
            <w:noWrap w:val="0"/>
            <w:vAlign w:val="center"/>
          </w:tcPr>
          <w:p w14:paraId="0A8E8DCC">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供应商对项目需求理解透彻，针对指定设备能够提供合理、完整和科学的实施方案，得</w:t>
            </w:r>
            <w:r>
              <w:rPr>
                <w:rFonts w:hint="eastAsia" w:ascii="宋体" w:hAnsi="宋体" w:eastAsia="宋体" w:cs="宋体"/>
                <w:b w:val="0"/>
                <w:i w:val="0"/>
                <w:caps w:val="0"/>
                <w:color w:val="000000"/>
                <w:spacing w:val="0"/>
                <w:w w:val="100"/>
                <w:sz w:val="24"/>
                <w:szCs w:val="24"/>
                <w:highlight w:val="none"/>
                <w:lang w:val="en-US" w:eastAsia="zh-CN"/>
              </w:rPr>
              <w:t>12</w:t>
            </w:r>
            <w:r>
              <w:rPr>
                <w:rFonts w:hint="eastAsia" w:ascii="宋体" w:hAnsi="宋体" w:eastAsia="宋体" w:cs="宋体"/>
                <w:b w:val="0"/>
                <w:i w:val="0"/>
                <w:caps w:val="0"/>
                <w:color w:val="000000"/>
                <w:spacing w:val="0"/>
                <w:w w:val="100"/>
                <w:sz w:val="24"/>
                <w:szCs w:val="24"/>
                <w:highlight w:val="none"/>
              </w:rPr>
              <w:t>分；实施方案完善详细，描述较为准确得</w:t>
            </w:r>
            <w:r>
              <w:rPr>
                <w:rFonts w:hint="eastAsia" w:ascii="宋体" w:hAnsi="宋体" w:eastAsia="宋体" w:cs="宋体"/>
                <w:b w:val="0"/>
                <w:i w:val="0"/>
                <w:caps w:val="0"/>
                <w:color w:val="000000"/>
                <w:spacing w:val="0"/>
                <w:w w:val="100"/>
                <w:sz w:val="24"/>
                <w:szCs w:val="24"/>
                <w:highlight w:val="none"/>
                <w:lang w:val="en-US" w:eastAsia="zh-CN"/>
              </w:rPr>
              <w:t>8</w:t>
            </w:r>
            <w:r>
              <w:rPr>
                <w:rFonts w:hint="eastAsia" w:ascii="宋体" w:hAnsi="宋体" w:eastAsia="宋体" w:cs="宋体"/>
                <w:b w:val="0"/>
                <w:i w:val="0"/>
                <w:caps w:val="0"/>
                <w:color w:val="000000"/>
                <w:spacing w:val="0"/>
                <w:w w:val="100"/>
                <w:sz w:val="24"/>
                <w:szCs w:val="24"/>
                <w:highlight w:val="none"/>
              </w:rPr>
              <w:t>分；实施方案简单，针对性欠缺得</w:t>
            </w:r>
            <w:r>
              <w:rPr>
                <w:rFonts w:hint="eastAsia" w:ascii="宋体" w:hAnsi="宋体" w:eastAsia="宋体" w:cs="宋体"/>
                <w:b w:val="0"/>
                <w:i w:val="0"/>
                <w:caps w:val="0"/>
                <w:color w:val="000000"/>
                <w:spacing w:val="0"/>
                <w:w w:val="100"/>
                <w:sz w:val="24"/>
                <w:szCs w:val="24"/>
                <w:highlight w:val="none"/>
                <w:lang w:val="en-US" w:eastAsia="zh-CN"/>
              </w:rPr>
              <w:t>4</w:t>
            </w:r>
            <w:r>
              <w:rPr>
                <w:rFonts w:hint="eastAsia" w:ascii="宋体" w:hAnsi="宋体" w:eastAsia="宋体" w:cs="宋体"/>
                <w:b w:val="0"/>
                <w:i w:val="0"/>
                <w:caps w:val="0"/>
                <w:color w:val="000000"/>
                <w:spacing w:val="0"/>
                <w:w w:val="100"/>
                <w:sz w:val="24"/>
                <w:szCs w:val="24"/>
                <w:highlight w:val="none"/>
              </w:rPr>
              <w:t>分；未提供不得分。</w:t>
            </w:r>
          </w:p>
        </w:tc>
      </w:tr>
      <w:tr w14:paraId="1D39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74" w:type="dxa"/>
            <w:vMerge w:val="continue"/>
            <w:noWrap w:val="0"/>
            <w:vAlign w:val="center"/>
          </w:tcPr>
          <w:p w14:paraId="6DA4DC9D">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noWrap w:val="0"/>
            <w:vAlign w:val="center"/>
          </w:tcPr>
          <w:p w14:paraId="199FC06C">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rPr>
            </w:pPr>
            <w:r>
              <w:rPr>
                <w:rFonts w:hint="eastAsia" w:ascii="宋体" w:hAnsi="宋体" w:eastAsia="宋体" w:cs="宋体"/>
                <w:b w:val="0"/>
                <w:i w:val="0"/>
                <w:caps w:val="0"/>
                <w:color w:val="000000"/>
                <w:spacing w:val="0"/>
                <w:w w:val="100"/>
                <w:kern w:val="2"/>
                <w:sz w:val="24"/>
                <w:szCs w:val="24"/>
              </w:rPr>
              <w:t>安装、验收</w:t>
            </w:r>
          </w:p>
          <w:p w14:paraId="7CCA2B88">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rPr>
            </w:pPr>
            <w:r>
              <w:rPr>
                <w:rFonts w:hint="eastAsia" w:ascii="宋体" w:hAnsi="宋体" w:eastAsia="宋体" w:cs="宋体"/>
                <w:b w:val="0"/>
                <w:i w:val="0"/>
                <w:caps w:val="0"/>
                <w:color w:val="000000"/>
                <w:spacing w:val="0"/>
                <w:w w:val="100"/>
                <w:kern w:val="2"/>
                <w:sz w:val="24"/>
                <w:szCs w:val="24"/>
              </w:rPr>
              <w:t>测试方案</w:t>
            </w:r>
          </w:p>
        </w:tc>
        <w:tc>
          <w:tcPr>
            <w:tcW w:w="851" w:type="dxa"/>
            <w:noWrap w:val="0"/>
            <w:vAlign w:val="center"/>
          </w:tcPr>
          <w:p w14:paraId="1136BA38">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5</w:t>
            </w:r>
          </w:p>
        </w:tc>
        <w:tc>
          <w:tcPr>
            <w:tcW w:w="6520" w:type="dxa"/>
            <w:noWrap w:val="0"/>
            <w:vAlign w:val="center"/>
          </w:tcPr>
          <w:p w14:paraId="1E38E3AB">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有完整全面合理的安装、验收测试方案的得</w:t>
            </w:r>
            <w:r>
              <w:rPr>
                <w:rFonts w:hint="eastAsia" w:ascii="宋体" w:hAnsi="宋体" w:eastAsia="宋体" w:cs="宋体"/>
                <w:b w:val="0"/>
                <w:i w:val="0"/>
                <w:caps w:val="0"/>
                <w:color w:val="000000"/>
                <w:spacing w:val="0"/>
                <w:w w:val="100"/>
                <w:sz w:val="24"/>
                <w:szCs w:val="24"/>
                <w:lang w:val="en-US" w:eastAsia="zh-CN"/>
              </w:rPr>
              <w:t>5</w:t>
            </w:r>
            <w:r>
              <w:rPr>
                <w:rFonts w:hint="eastAsia" w:ascii="宋体" w:hAnsi="宋体" w:eastAsia="宋体" w:cs="宋体"/>
                <w:b w:val="0"/>
                <w:i w:val="0"/>
                <w:caps w:val="0"/>
                <w:color w:val="000000"/>
                <w:spacing w:val="0"/>
                <w:w w:val="100"/>
                <w:sz w:val="24"/>
                <w:szCs w:val="24"/>
              </w:rPr>
              <w:t>分；安装、验收测试方案合理的得</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分；安装、验收方案欠缺得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分，未提供不得分。</w:t>
            </w:r>
          </w:p>
        </w:tc>
      </w:tr>
      <w:tr w14:paraId="2E8D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74" w:type="dxa"/>
            <w:vMerge w:val="continue"/>
            <w:noWrap w:val="0"/>
            <w:vAlign w:val="center"/>
          </w:tcPr>
          <w:p w14:paraId="0EBC0FC7">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vMerge w:val="restart"/>
            <w:noWrap w:val="0"/>
            <w:vAlign w:val="center"/>
          </w:tcPr>
          <w:p w14:paraId="6D270C24">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售后服务</w:t>
            </w:r>
          </w:p>
          <w:p w14:paraId="3A6AE658">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及承诺</w:t>
            </w:r>
          </w:p>
        </w:tc>
        <w:tc>
          <w:tcPr>
            <w:tcW w:w="851" w:type="dxa"/>
            <w:noWrap w:val="0"/>
            <w:vAlign w:val="center"/>
          </w:tcPr>
          <w:p w14:paraId="482A4609">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3</w:t>
            </w:r>
          </w:p>
        </w:tc>
        <w:tc>
          <w:tcPr>
            <w:tcW w:w="6520" w:type="dxa"/>
            <w:noWrap w:val="0"/>
            <w:vAlign w:val="center"/>
          </w:tcPr>
          <w:p w14:paraId="2498F148">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供应商的售后服务方案、技术支持方案及服务承诺详细、具体、完整、满足用户要求的得</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分；售后服务方案、技术支持方案及服务承诺一般、不够具体、基本满足用户要求的得</w:t>
            </w:r>
            <w:r>
              <w:rPr>
                <w:rFonts w:hint="eastAsia" w:ascii="宋体" w:hAnsi="宋体" w:eastAsia="宋体" w:cs="宋体"/>
                <w:b w:val="0"/>
                <w:i w:val="0"/>
                <w:caps w:val="0"/>
                <w:color w:val="000000"/>
                <w:spacing w:val="0"/>
                <w:w w:val="100"/>
                <w:sz w:val="24"/>
                <w:szCs w:val="24"/>
                <w:lang w:val="en-US" w:eastAsia="zh-CN"/>
              </w:rPr>
              <w:t>2</w:t>
            </w:r>
            <w:r>
              <w:rPr>
                <w:rFonts w:hint="eastAsia" w:ascii="宋体" w:hAnsi="宋体" w:eastAsia="宋体" w:cs="宋体"/>
                <w:b w:val="0"/>
                <w:i w:val="0"/>
                <w:caps w:val="0"/>
                <w:color w:val="000000"/>
                <w:spacing w:val="0"/>
                <w:w w:val="100"/>
                <w:sz w:val="24"/>
                <w:szCs w:val="24"/>
              </w:rPr>
              <w:t>分；售后服务方案、技术支持方案及服务承诺不完整的得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分；没有提供的不得分。</w:t>
            </w:r>
          </w:p>
        </w:tc>
      </w:tr>
      <w:tr w14:paraId="3720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74" w:type="dxa"/>
            <w:vMerge w:val="continue"/>
            <w:noWrap w:val="0"/>
            <w:vAlign w:val="center"/>
          </w:tcPr>
          <w:p w14:paraId="5BCC0B7C">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vMerge w:val="continue"/>
            <w:noWrap w:val="0"/>
            <w:vAlign w:val="center"/>
          </w:tcPr>
          <w:p w14:paraId="0220D805">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rPr>
            </w:pPr>
          </w:p>
        </w:tc>
        <w:tc>
          <w:tcPr>
            <w:tcW w:w="851" w:type="dxa"/>
            <w:noWrap w:val="0"/>
            <w:vAlign w:val="center"/>
          </w:tcPr>
          <w:p w14:paraId="319174E1">
            <w:pPr>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3</w:t>
            </w:r>
          </w:p>
        </w:tc>
        <w:tc>
          <w:tcPr>
            <w:tcW w:w="6520" w:type="dxa"/>
            <w:noWrap w:val="0"/>
            <w:vAlign w:val="center"/>
          </w:tcPr>
          <w:p w14:paraId="78087FF9">
            <w:pPr>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供应商承诺提供7×24小时电话售后服务，接采购人通知2小时内派技术人员到达现场进行调整调试、维修、解决问题相关问题。有承诺且有处罚措施得</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分，有承诺无处罚措施得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分，无法满足的不得分。</w:t>
            </w:r>
          </w:p>
        </w:tc>
      </w:tr>
    </w:tbl>
    <w:p w14:paraId="74E62BC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MzM5N2FhNjFlODZjMmFkNzA0YWU0ODFmN2MyZTkifQ=="/>
  </w:docVars>
  <w:rsids>
    <w:rsidRoot w:val="6B410A8F"/>
    <w:rsid w:val="6B41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endnote text"/>
    <w:basedOn w:val="1"/>
    <w:qFormat/>
    <w:uiPriority w:val="0"/>
    <w:pPr>
      <w:snapToGrid w:val="0"/>
      <w:jc w:val="left"/>
    </w:pPr>
    <w:rPr>
      <w:rFonts w:ascii="宋体" w:hAnsi="宋体"/>
      <w:kern w:val="0"/>
      <w:sz w:val="28"/>
    </w:rPr>
  </w:style>
  <w:style w:type="character" w:styleId="6">
    <w:name w:val="annotation reference"/>
    <w:qFormat/>
    <w:uiPriority w:val="0"/>
    <w:rPr>
      <w:rFonts w:ascii="Calibri" w:hAnsi="Calibri" w:eastAsia="宋体" w:cs="Calibri"/>
      <w:sz w:val="21"/>
      <w:szCs w:val="21"/>
    </w:rPr>
  </w:style>
  <w:style w:type="paragraph" w:customStyle="1" w:styleId="7">
    <w:name w:val="列出段落2"/>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2024-07-22T07:28:00Z</dcterms:created>
  <dc:creator>林栖哲</dc:creator>
  <cp:lastModifiedBy>林栖哲</cp:lastModifiedBy>
  <dcterms:modified xsi:type="dcterms:W3CDTF">2024-07-22T07:29:31Z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D9C8C3415FCB443993D97059537D16B2_11</vt:lpwstr>
  </property>
</Properties>
</file>