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DE3D6">
      <w:pPr>
        <w:jc w:val="left"/>
        <w:rPr>
          <w:rFonts w:hint="eastAsia" w:ascii="Times New Roman" w:hAnsi="Times New Roman" w:eastAsia="仿宋_GB2312"/>
          <w:sz w:val="32"/>
          <w:szCs w:val="32"/>
        </w:rPr>
      </w:pPr>
      <w:r>
        <w:rPr>
          <w:rFonts w:hint="eastAsia" w:ascii="Times New Roman" w:hAnsi="Times New Roman" w:eastAsia="仿宋_GB2312"/>
          <w:sz w:val="32"/>
          <w:szCs w:val="32"/>
        </w:rPr>
        <w:t>附件3</w:t>
      </w:r>
    </w:p>
    <w:p w14:paraId="3F52CB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2024年湖北省高校网络文化成果展示活动</w:t>
      </w:r>
    </w:p>
    <w:p w14:paraId="093441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作品创作选题指南</w:t>
      </w:r>
      <w:bookmarkEnd w:id="0"/>
    </w:p>
    <w:p w14:paraId="437C887F">
      <w:pPr>
        <w:rPr>
          <w:rFonts w:hint="eastAsia" w:ascii="仿宋_GB2312" w:hAnsi="仿宋_GB2312" w:eastAsia="仿宋_GB2312" w:cs="仿宋_GB2312"/>
          <w:sz w:val="32"/>
          <w:szCs w:val="32"/>
        </w:rPr>
      </w:pPr>
    </w:p>
    <w:p w14:paraId="20D0B64B">
      <w:pPr>
        <w:pStyle w:val="4"/>
        <w:keepNext w:val="0"/>
        <w:keepLines w:val="0"/>
        <w:pageBreakBefore w:val="0"/>
        <w:widowControl w:val="0"/>
        <w:kinsoku/>
        <w:wordWrap/>
        <w:topLinePunct w:val="0"/>
        <w:autoSpaceDE/>
        <w:autoSpaceDN/>
        <w:bidi w:val="0"/>
        <w:snapToGrid/>
        <w:spacing w:line="560" w:lineRule="exact"/>
        <w:ind w:firstLine="6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学习宣传贯彻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14:paraId="05DFBF1B">
      <w:pPr>
        <w:pStyle w:val="4"/>
        <w:keepNext w:val="0"/>
        <w:keepLines w:val="0"/>
        <w:pageBreakBefore w:val="0"/>
        <w:widowControl w:val="0"/>
        <w:kinsoku/>
        <w:wordWrap/>
        <w:topLinePunct w:val="0"/>
        <w:autoSpaceDE/>
        <w:autoSpaceDN/>
        <w:bidi w:val="0"/>
        <w:snapToGrid/>
        <w:spacing w:line="560" w:lineRule="exact"/>
        <w:ind w:firstLine="6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学习宣传贯彻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14:paraId="376EBFDB">
      <w:pPr>
        <w:pStyle w:val="4"/>
        <w:keepNext w:val="0"/>
        <w:keepLines w:val="0"/>
        <w:pageBreakBefore w:val="0"/>
        <w:widowControl w:val="0"/>
        <w:kinsoku/>
        <w:wordWrap/>
        <w:topLinePunct w:val="0"/>
        <w:autoSpaceDE/>
        <w:autoSpaceDN/>
        <w:bidi w:val="0"/>
        <w:snapToGrid/>
        <w:spacing w:line="560" w:lineRule="exact"/>
        <w:ind w:firstLine="600"/>
        <w:textAlignment w:val="auto"/>
        <w:rPr>
          <w:rFonts w:hint="eastAsia"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lang w:val="en-US"/>
        </w:rPr>
        <w:t>3</w:t>
      </w:r>
      <w:r>
        <w:rPr>
          <w:rFonts w:hint="eastAsia" w:ascii="仿宋_GB2312" w:hAnsi="仿宋_GB2312" w:eastAsia="仿宋_GB2312" w:cs="仿宋_GB2312"/>
          <w:color w:val="000000"/>
          <w:kern w:val="0"/>
          <w:sz w:val="32"/>
          <w:szCs w:val="32"/>
        </w:rPr>
        <w:t>.深入学习贯彻习近平总书记关于湖北工作的重要讲话和指示批示精神，认真落实省第十二次党代会和省委十二届历次全会部署，生动展示全省上下全面推进以流域综合治理为基础的四化同步发展，加快建设全国构建新发展格局先行区，加快建成中部地区崛起重要战略支点，奋力推进中国式现代化湖北实践的生动画卷。</w:t>
      </w:r>
    </w:p>
    <w:p w14:paraId="12990CB1">
      <w:pPr>
        <w:pStyle w:val="4"/>
        <w:keepNext w:val="0"/>
        <w:keepLines w:val="0"/>
        <w:pageBreakBefore w:val="0"/>
        <w:widowControl w:val="0"/>
        <w:kinsoku/>
        <w:wordWrap/>
        <w:topLinePunct w:val="0"/>
        <w:autoSpaceDE/>
        <w:autoSpaceDN/>
        <w:bidi w:val="0"/>
        <w:snapToGrid/>
        <w:spacing w:line="560" w:lineRule="exact"/>
        <w:ind w:firstLine="640" w:firstLineChars="0"/>
        <w:textAlignment w:val="auto"/>
        <w:rPr>
          <w:rFonts w:hint="eastAsia"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lang w:val="en-US"/>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学习宣传贯彻习近平总书记关于教育的重要论述，结合习近平总书记在学校考察、给师生和教育界致信回信、出席全国高校思想政治工作会议、全国教育大会、学校思想政治理论课教师座谈会等重要会议时作出的重要指示，围绕实施科教兴国战略、人才强国战略、创新驱动发展战略，引导青年学生砥砺成才、担当使命。</w:t>
      </w:r>
    </w:p>
    <w:p w14:paraId="50831BA2">
      <w:pPr>
        <w:pStyle w:val="4"/>
        <w:keepNext w:val="0"/>
        <w:keepLines w:val="0"/>
        <w:pageBreakBefore w:val="0"/>
        <w:widowControl w:val="0"/>
        <w:kinsoku/>
        <w:wordWrap/>
        <w:topLinePunct w:val="0"/>
        <w:autoSpaceDE/>
        <w:autoSpaceDN/>
        <w:bidi w:val="0"/>
        <w:adjustRightInd w:val="0"/>
        <w:snapToGrid/>
        <w:spacing w:line="560" w:lineRule="exact"/>
        <w:ind w:firstLine="600"/>
        <w:textAlignment w:val="auto"/>
        <w:rPr>
          <w:rFonts w:hint="eastAsia"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lang w:val="en-US"/>
        </w:rPr>
        <w:t>5</w:t>
      </w:r>
      <w:r>
        <w:rPr>
          <w:rFonts w:hint="eastAsia" w:ascii="仿宋_GB2312" w:hAnsi="仿宋_GB2312" w:eastAsia="仿宋_GB2312" w:cs="仿宋_GB2312"/>
          <w:color w:val="000000"/>
          <w:kern w:val="0"/>
          <w:sz w:val="32"/>
          <w:szCs w:val="32"/>
        </w:rPr>
        <w:t>.学习宣传贯彻习近平总书记关于网络强国的重要思想，引导青年学生正确认识互联网、深入学习互联网、积极运用互联网，切实提升在网上明辨是非、鉴别真伪、分清善恶、判定美丑、维护安全的能力。倡导文明理性健康上网，提升网络素养，</w:t>
      </w:r>
      <w:r>
        <w:rPr>
          <w:rFonts w:hint="eastAsia" w:ascii="仿宋_GB2312" w:hAnsi="仿宋_GB2312" w:eastAsia="仿宋_GB2312" w:cs="仿宋_GB2312"/>
          <w:kern w:val="0"/>
          <w:sz w:val="32"/>
          <w:szCs w:val="32"/>
        </w:rPr>
        <w:t>积极参与网络文明建设，</w:t>
      </w:r>
      <w:r>
        <w:rPr>
          <w:rFonts w:hint="eastAsia" w:ascii="仿宋_GB2312" w:hAnsi="仿宋_GB2312" w:eastAsia="仿宋_GB2312" w:cs="仿宋_GB2312"/>
          <w:color w:val="000000"/>
          <w:kern w:val="0"/>
          <w:sz w:val="32"/>
          <w:szCs w:val="32"/>
        </w:rPr>
        <w:t>争做校园好网民，营造清朗网络空间，</w:t>
      </w:r>
      <w:r>
        <w:rPr>
          <w:rFonts w:hint="eastAsia" w:ascii="仿宋_GB2312" w:hAnsi="仿宋_GB2312" w:eastAsia="仿宋_GB2312" w:cs="仿宋_GB2312"/>
          <w:sz w:val="32"/>
          <w:szCs w:val="32"/>
        </w:rPr>
        <w:t>共建美好网上精神家园。</w:t>
      </w:r>
    </w:p>
    <w:p w14:paraId="764C3195">
      <w:pPr>
        <w:pStyle w:val="4"/>
        <w:keepNext w:val="0"/>
        <w:keepLines w:val="0"/>
        <w:pageBreakBefore w:val="0"/>
        <w:widowControl w:val="0"/>
        <w:kinsoku/>
        <w:wordWrap/>
        <w:topLinePunct w:val="0"/>
        <w:autoSpaceDE/>
        <w:autoSpaceDN/>
        <w:bidi w:val="0"/>
        <w:adjustRightInd w:val="0"/>
        <w:snapToGrid/>
        <w:spacing w:line="560" w:lineRule="exact"/>
        <w:ind w:firstLine="600"/>
        <w:textAlignment w:val="auto"/>
        <w:rPr>
          <w:rFonts w:hint="eastAsia" w:ascii="仿宋_GB2312" w:hAnsi="仿宋_GB2312" w:eastAsia="仿宋_GB2312" w:cs="仿宋_GB2312"/>
          <w:kern w:val="0"/>
          <w:sz w:val="32"/>
          <w:szCs w:val="32"/>
        </w:rPr>
      </w:pPr>
      <w:r>
        <w:rPr>
          <w:rFonts w:hint="default" w:ascii="仿宋_GB2312" w:hAnsi="仿宋_GB2312" w:eastAsia="仿宋_GB2312" w:cs="仿宋_GB2312"/>
          <w:color w:val="000000"/>
          <w:kern w:val="0"/>
          <w:sz w:val="32"/>
          <w:szCs w:val="32"/>
          <w:lang w:val="en-US"/>
        </w:rPr>
        <w:t>6</w:t>
      </w:r>
      <w:r>
        <w:rPr>
          <w:rFonts w:hint="eastAsia" w:ascii="仿宋_GB2312" w:hAnsi="仿宋_GB2312" w:eastAsia="仿宋_GB2312" w:cs="仿宋_GB2312"/>
          <w:color w:val="000000"/>
          <w:kern w:val="0"/>
          <w:sz w:val="32"/>
          <w:szCs w:val="32"/>
        </w:rPr>
        <w:t>.学习宣传贯彻习近平法治思想，弘扬社会主义法治理念、法治精神，培育社会主义法治文化，</w:t>
      </w:r>
      <w:r>
        <w:rPr>
          <w:rFonts w:hint="eastAsia" w:ascii="仿宋_GB2312" w:hAnsi="仿宋_GB2312" w:eastAsia="仿宋_GB2312" w:cs="仿宋_GB2312"/>
          <w:kern w:val="0"/>
          <w:sz w:val="32"/>
          <w:szCs w:val="32"/>
        </w:rPr>
        <w:t>不断提升法治意识和法治素养，自觉尊法学法守法用法。</w:t>
      </w:r>
      <w:r>
        <w:rPr>
          <w:rFonts w:hint="eastAsia" w:ascii="仿宋_GB2312" w:hAnsi="仿宋_GB2312" w:eastAsia="仿宋_GB2312" w:cs="仿宋_GB2312"/>
          <w:color w:val="000000"/>
          <w:kern w:val="0"/>
          <w:sz w:val="32"/>
          <w:szCs w:val="32"/>
        </w:rPr>
        <w:t>防范电信网络诈骗，提高反诈防骗能力，提升师生自我防护和遵纪守法意识。积极开展绿色环保、</w:t>
      </w:r>
      <w:r>
        <w:rPr>
          <w:rFonts w:hint="eastAsia" w:ascii="仿宋_GB2312" w:hAnsi="仿宋_GB2312" w:eastAsia="仿宋_GB2312" w:cs="仿宋_GB2312"/>
          <w:color w:val="000000"/>
          <w:kern w:val="0"/>
          <w:sz w:val="32"/>
          <w:szCs w:val="32"/>
          <w:shd w:val="clear" w:color="auto" w:fill="FFFFFF"/>
        </w:rPr>
        <w:t>书香阅读、</w:t>
      </w:r>
      <w:r>
        <w:rPr>
          <w:rFonts w:hint="eastAsia" w:ascii="仿宋_GB2312" w:hAnsi="仿宋_GB2312" w:eastAsia="仿宋_GB2312" w:cs="仿宋_GB2312"/>
          <w:color w:val="000000"/>
          <w:kern w:val="0"/>
          <w:sz w:val="32"/>
          <w:szCs w:val="32"/>
        </w:rPr>
        <w:t>厉行</w:t>
      </w:r>
      <w:r>
        <w:rPr>
          <w:rFonts w:hint="eastAsia" w:ascii="仿宋_GB2312" w:hAnsi="仿宋_GB2312" w:eastAsia="仿宋_GB2312" w:cs="仿宋_GB2312"/>
          <w:color w:val="000000"/>
          <w:kern w:val="0"/>
          <w:sz w:val="32"/>
          <w:szCs w:val="32"/>
          <w:shd w:val="clear" w:color="auto" w:fill="FFFFFF"/>
        </w:rPr>
        <w:t>节约</w:t>
      </w:r>
      <w:r>
        <w:rPr>
          <w:rFonts w:hint="eastAsia" w:ascii="仿宋_GB2312" w:hAnsi="仿宋_GB2312" w:eastAsia="仿宋_GB2312" w:cs="仿宋_GB2312"/>
          <w:color w:val="000000"/>
          <w:kern w:val="0"/>
          <w:sz w:val="32"/>
          <w:szCs w:val="32"/>
        </w:rPr>
        <w:t>、禁毒防艾、扫黄打非等公益宣传。</w:t>
      </w:r>
    </w:p>
    <w:p w14:paraId="31365611">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lang w:val="en-US"/>
        </w:rPr>
        <w:t>7</w:t>
      </w:r>
      <w:r>
        <w:rPr>
          <w:rFonts w:hint="eastAsia" w:ascii="仿宋_GB2312" w:hAnsi="仿宋_GB2312" w:eastAsia="仿宋_GB2312" w:cs="仿宋_GB2312"/>
          <w:color w:val="000000"/>
          <w:kern w:val="0"/>
          <w:sz w:val="32"/>
          <w:szCs w:val="32"/>
        </w:rPr>
        <w:t>.深入开展“四史”宣传教育，有效提升政治认同、思想认同、情感认同，切实做到学史明理、学史增信、学史崇德、学史力行。铸牢中华民族共同体意识，增强听党话、感党恩、跟党走的政治自觉、思想自觉和行动自觉，厚植对中华民族的认同感，构建中华民族共有精神家园。</w:t>
      </w:r>
    </w:p>
    <w:p w14:paraId="229B6C0E">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color w:val="000000"/>
          <w:kern w:val="0"/>
          <w:sz w:val="32"/>
          <w:szCs w:val="32"/>
          <w:lang w:val="en-US"/>
        </w:rPr>
        <w:t>8</w:t>
      </w:r>
      <w:r>
        <w:rPr>
          <w:rFonts w:hint="eastAsia" w:ascii="仿宋_GB2312" w:hAnsi="仿宋_GB2312" w:eastAsia="仿宋_GB2312" w:cs="仿宋_GB2312"/>
          <w:color w:val="000000"/>
          <w:kern w:val="0"/>
          <w:sz w:val="32"/>
          <w:szCs w:val="32"/>
        </w:rPr>
        <w:t>.学习宣传中国共产党人的精神谱系，弘扬伟大建党精神，用好红色资源，发扬红色传统，传承红色基因，赓续共产党人精神血脉。</w:t>
      </w:r>
    </w:p>
    <w:p w14:paraId="0D57E057">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lang w:val="en-US"/>
        </w:rPr>
        <w:t>9</w:t>
      </w:r>
      <w:r>
        <w:rPr>
          <w:rFonts w:hint="eastAsia" w:ascii="仿宋_GB2312" w:hAnsi="仿宋_GB2312" w:eastAsia="仿宋_GB2312" w:cs="仿宋_GB2312"/>
          <w:color w:val="000000"/>
          <w:kern w:val="0"/>
          <w:sz w:val="32"/>
          <w:szCs w:val="32"/>
        </w:rPr>
        <w:t>.学习弘扬中华优秀传统文化、革命文化、社会主义先进文化，践行社会主义核心价值观。</w:t>
      </w:r>
      <w:r>
        <w:rPr>
          <w:rFonts w:hint="eastAsia" w:ascii="仿宋_GB2312" w:hAnsi="仿宋_GB2312" w:eastAsia="仿宋_GB2312" w:cs="仿宋_GB2312"/>
          <w:color w:val="000000"/>
          <w:sz w:val="32"/>
          <w:szCs w:val="32"/>
        </w:rPr>
        <w:t>开展非物质文化遗产、中华“老字号”品牌宣传推广。</w:t>
      </w:r>
      <w:r>
        <w:rPr>
          <w:rFonts w:hint="eastAsia" w:ascii="仿宋_GB2312" w:hAnsi="仿宋_GB2312" w:eastAsia="仿宋_GB2312" w:cs="仿宋_GB2312"/>
          <w:color w:val="000000"/>
          <w:kern w:val="0"/>
          <w:sz w:val="32"/>
          <w:szCs w:val="32"/>
        </w:rPr>
        <w:t>实施校园文化提能增效，强化以文化人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以文育人，展示健康向上、格调高雅的校园文化活动。</w:t>
      </w:r>
    </w:p>
    <w:p w14:paraId="3F324985">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lang w:val="en-US"/>
        </w:rPr>
        <w:t>10</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树牢总体国家安全观，</w:t>
      </w:r>
      <w:r>
        <w:rPr>
          <w:rFonts w:hint="eastAsia" w:ascii="仿宋_GB2312" w:hAnsi="仿宋_GB2312" w:eastAsia="仿宋_GB2312" w:cs="仿宋_GB2312"/>
          <w:sz w:val="32"/>
          <w:szCs w:val="32"/>
          <w:lang w:eastAsia="zh-Hans"/>
        </w:rPr>
        <w:t>从政治安全、</w:t>
      </w:r>
      <w:r>
        <w:rPr>
          <w:rFonts w:hint="eastAsia" w:ascii="仿宋_GB2312" w:hAnsi="仿宋_GB2312" w:eastAsia="仿宋_GB2312" w:cs="仿宋_GB2312"/>
          <w:sz w:val="32"/>
          <w:szCs w:val="32"/>
        </w:rPr>
        <w:t>社会安全、</w:t>
      </w:r>
      <w:r>
        <w:rPr>
          <w:rFonts w:hint="eastAsia" w:ascii="仿宋_GB2312" w:hAnsi="仿宋_GB2312" w:eastAsia="仿宋_GB2312" w:cs="仿宋_GB2312"/>
          <w:sz w:val="32"/>
          <w:szCs w:val="32"/>
          <w:lang w:eastAsia="zh-Hans"/>
        </w:rPr>
        <w:t>网络安全、科技安全、生态安全、生物安全</w:t>
      </w:r>
      <w:r>
        <w:rPr>
          <w:rFonts w:hint="eastAsia" w:ascii="仿宋_GB2312" w:hAnsi="仿宋_GB2312" w:eastAsia="仿宋_GB2312" w:cs="仿宋_GB2312"/>
          <w:sz w:val="32"/>
          <w:szCs w:val="32"/>
        </w:rPr>
        <w:t>及反间防谍、反恐防恐、反邪教</w:t>
      </w:r>
      <w:r>
        <w:rPr>
          <w:rFonts w:hint="eastAsia" w:ascii="仿宋_GB2312" w:hAnsi="仿宋_GB2312" w:eastAsia="仿宋_GB2312" w:cs="仿宋_GB2312"/>
          <w:sz w:val="32"/>
          <w:szCs w:val="32"/>
          <w:lang w:eastAsia="zh-Hans"/>
        </w:rPr>
        <w:t>等方面阐释</w:t>
      </w:r>
      <w:r>
        <w:rPr>
          <w:rFonts w:hint="eastAsia" w:ascii="仿宋_GB2312" w:hAnsi="仿宋_GB2312" w:eastAsia="仿宋_GB2312" w:cs="仿宋_GB2312"/>
          <w:color w:val="000000"/>
          <w:kern w:val="0"/>
          <w:sz w:val="32"/>
          <w:szCs w:val="32"/>
        </w:rPr>
        <w:t>国家安全教育的重要性，自觉维护国家安全。</w:t>
      </w:r>
    </w:p>
    <w:p w14:paraId="1DB4EBBB">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default" w:ascii="仿宋_GB2312" w:hAnsi="仿宋_GB2312" w:eastAsia="仿宋_GB2312" w:cs="仿宋_GB2312"/>
          <w:color w:val="000000"/>
          <w:kern w:val="0"/>
          <w:sz w:val="32"/>
          <w:szCs w:val="32"/>
          <w:lang w:val="en-US"/>
        </w:rPr>
        <w:t>1</w:t>
      </w:r>
      <w:r>
        <w:rPr>
          <w:rFonts w:hint="eastAsia" w:ascii="仿宋_GB2312" w:hAnsi="仿宋_GB2312" w:eastAsia="仿宋_GB2312" w:cs="仿宋_GB2312"/>
          <w:color w:val="000000"/>
          <w:kern w:val="0"/>
          <w:sz w:val="32"/>
          <w:szCs w:val="32"/>
        </w:rPr>
        <w:t>.体现青年学生敢为人先、敢于突破的创新精神，实学实干、孜孜不倦、追求卓越的奋斗品质，立大志、明大德、成大才、担大任、努力成为堪当民族复兴大任的时代新人的抱负决心。讲述青年学生在乡村振兴、科研攻关等重大行动中投身祖国、建功立业的生动事迹，体现青年学生为服务国家富强、民族复兴、人民幸福贡献力量的青春风采。</w:t>
      </w:r>
    </w:p>
    <w:p w14:paraId="148268DE">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default" w:ascii="仿宋_GB2312" w:hAnsi="仿宋_GB2312" w:eastAsia="仿宋_GB2312" w:cs="仿宋_GB2312"/>
          <w:color w:val="000000"/>
          <w:sz w:val="32"/>
          <w:szCs w:val="32"/>
          <w:lang w:val="en-US"/>
        </w:rPr>
        <w:t>2</w:t>
      </w:r>
      <w:r>
        <w:rPr>
          <w:rFonts w:hint="eastAsia" w:ascii="仿宋_GB2312" w:hAnsi="仿宋_GB2312" w:eastAsia="仿宋_GB2312" w:cs="仿宋_GB2312"/>
          <w:color w:val="000000"/>
          <w:sz w:val="32"/>
          <w:szCs w:val="32"/>
        </w:rPr>
        <w:t>.学习弘扬科学家精神，围绕“爱国、创新、求实、奉献、协同、育人”内涵，营造崇尚科学、尊重科学的氛围。</w:t>
      </w:r>
    </w:p>
    <w:p w14:paraId="4859A74C">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default" w:ascii="仿宋_GB2312" w:hAnsi="仿宋_GB2312" w:eastAsia="仿宋_GB2312" w:cs="仿宋_GB2312"/>
          <w:color w:val="000000"/>
          <w:kern w:val="0"/>
          <w:sz w:val="32"/>
          <w:szCs w:val="32"/>
          <w:lang w:val="en-US"/>
        </w:rPr>
        <w:t>3</w:t>
      </w:r>
      <w:r>
        <w:rPr>
          <w:rFonts w:hint="eastAsia" w:ascii="仿宋_GB2312" w:hAnsi="仿宋_GB2312" w:eastAsia="仿宋_GB2312" w:cs="仿宋_GB2312"/>
          <w:color w:val="000000"/>
          <w:kern w:val="0"/>
          <w:sz w:val="32"/>
          <w:szCs w:val="32"/>
        </w:rPr>
        <w:t>.提升新时代大学生</w:t>
      </w:r>
      <w:r>
        <w:rPr>
          <w:rFonts w:hint="eastAsia" w:ascii="仿宋_GB2312" w:hAnsi="仿宋_GB2312" w:eastAsia="仿宋_GB2312" w:cs="仿宋_GB2312"/>
          <w:color w:val="000000"/>
          <w:sz w:val="32"/>
          <w:szCs w:val="32"/>
        </w:rPr>
        <w:t>诚信意识，围绕学习学术、助学贷款、就业求职等方面的问题开展诚信教育，营造诚实守信良好氛围。</w:t>
      </w:r>
    </w:p>
    <w:p w14:paraId="43AFFE0E">
      <w:pPr>
        <w:pStyle w:val="4"/>
        <w:keepNext w:val="0"/>
        <w:keepLines w:val="0"/>
        <w:pageBreakBefore w:val="0"/>
        <w:widowControl w:val="0"/>
        <w:kinsoku/>
        <w:wordWrap/>
        <w:topLinePunct w:val="0"/>
        <w:autoSpaceDE/>
        <w:autoSpaceDN/>
        <w:bidi w:val="0"/>
        <w:snapToGrid/>
        <w:spacing w:line="560" w:lineRule="exact"/>
        <w:ind w:firstLine="6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default" w:ascii="仿宋_GB2312" w:hAnsi="仿宋_GB2312" w:eastAsia="仿宋_GB2312" w:cs="仿宋_GB2312"/>
          <w:color w:val="000000"/>
          <w:kern w:val="0"/>
          <w:sz w:val="32"/>
          <w:szCs w:val="32"/>
          <w:lang w:val="en-US"/>
        </w:rPr>
        <w:t>4</w:t>
      </w:r>
      <w:r>
        <w:rPr>
          <w:rFonts w:hint="eastAsia" w:ascii="仿宋_GB2312" w:hAnsi="仿宋_GB2312" w:eastAsia="仿宋_GB2312" w:cs="仿宋_GB2312"/>
          <w:color w:val="000000"/>
          <w:kern w:val="0"/>
          <w:sz w:val="32"/>
          <w:szCs w:val="32"/>
        </w:rPr>
        <w:t>.建设和谐、美丽、平安校园，实施“一站式”学生社区综合治理创新，净化校园及周边治安综合治理环境，提升广大师生安全感、获得感、幸福感。倡导新时代爱国卫生运动，普及心理健康知识，培育理性平和、积极向上的健康心态。</w:t>
      </w:r>
    </w:p>
    <w:p w14:paraId="25427A36">
      <w:pPr>
        <w:pStyle w:val="4"/>
        <w:keepNext w:val="0"/>
        <w:keepLines w:val="0"/>
        <w:pageBreakBefore w:val="0"/>
        <w:widowControl w:val="0"/>
        <w:kinsoku/>
        <w:wordWrap/>
        <w:topLinePunct w:val="0"/>
        <w:autoSpaceDE/>
        <w:autoSpaceDN/>
        <w:bidi w:val="0"/>
        <w:snapToGrid/>
        <w:spacing w:line="560" w:lineRule="exact"/>
        <w:ind w:firstLine="6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default" w:ascii="仿宋_GB2312" w:hAnsi="仿宋_GB2312" w:eastAsia="仿宋_GB2312" w:cs="仿宋_GB2312"/>
          <w:color w:val="000000"/>
          <w:kern w:val="0"/>
          <w:sz w:val="32"/>
          <w:szCs w:val="32"/>
          <w:lang w:val="en-US"/>
        </w:rPr>
        <w:t>5</w:t>
      </w:r>
      <w:r>
        <w:rPr>
          <w:rFonts w:hint="eastAsia" w:ascii="仿宋_GB2312" w:hAnsi="仿宋_GB2312" w:eastAsia="仿宋_GB2312" w:cs="仿宋_GB2312"/>
          <w:color w:val="000000"/>
          <w:kern w:val="0"/>
          <w:sz w:val="32"/>
          <w:szCs w:val="32"/>
        </w:rPr>
        <w:t>.立足湖北厚重的历史文化、卓绝的革命斗争、火热的改革实践，深入挖掘大别山精神、抗洪精神、抗疫精神的时代价值。把握时代脉搏、聆听时代声音，讲好时代楷模、道德模范、最美人物、身边好人的故事，塑造新时代人民群众鲜活群像。</w:t>
      </w:r>
    </w:p>
    <w:p w14:paraId="3244C564">
      <w:pPr>
        <w:pStyle w:val="4"/>
        <w:wordWrap w:val="0"/>
        <w:spacing w:line="600" w:lineRule="exact"/>
        <w:ind w:firstLine="60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（供创作参考，不限于以上主题）</w:t>
      </w:r>
    </w:p>
    <w:p w14:paraId="25360CEC"/>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YjdhMGNkODQ3MDRlY2QwMjNkZDNhMjk1MzczZjMifQ=="/>
  </w:docVars>
  <w:rsids>
    <w:rsidRoot w:val="1CE92901"/>
    <w:rsid w:val="0CBB102F"/>
    <w:rsid w:val="1CE92901"/>
    <w:rsid w:val="28633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表段落"/>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1709</Words>
  <Characters>1733</Characters>
  <Lines>0</Lines>
  <Paragraphs>0</Paragraphs>
  <TotalTime>1</TotalTime>
  <ScaleCrop>false</ScaleCrop>
  <LinksUpToDate>false</LinksUpToDate>
  <CharactersWithSpaces>1733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2024-06-28T08:15:00Z</dcterms:created>
  <dc:creator>阳光灿烂的小借口</dc:creator>
  <cp:lastModifiedBy>WPS_1645510297</cp:lastModifiedBy>
  <dcterms:modified xsi:type="dcterms:W3CDTF">2025-04-18T02:34:52Z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98A23B9059104901AA5B4CDA1A7BB969_13</vt:lpwstr>
  </property>
  <property fmtid="{D5CDD505-2E9C-101B-9397-08002B2CF9AE}" pid="4" name="KSOTemplateDocerSaveRecord">
    <vt:lpwstr>eyJoZGlkIjoiMjdjODNlNmJjYjUzNDZiYjI0YWE5MTJlZjc2NWFlNGUiLCJ1c2VySWQiOiIxMzM0NzMxNDIwIn0=</vt:lpwstr>
  </property>
</Properties>
</file>